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275" w:rsidRDefault="009E0275" w:rsidP="009E0275">
      <w:pPr>
        <w:pStyle w:val="Title"/>
        <w:rPr>
          <w:rFonts w:eastAsia="Times New Roman"/>
          <w:sz w:val="48"/>
          <w:szCs w:val="48"/>
        </w:rPr>
      </w:pPr>
      <w:r>
        <w:rPr>
          <w:rFonts w:eastAsia="Times New Roman"/>
        </w:rPr>
        <w:t>Meningococcal Surveill</w:t>
      </w:r>
      <w:r w:rsidR="007E05A0">
        <w:rPr>
          <w:rFonts w:eastAsia="Times New Roman"/>
        </w:rPr>
        <w:t>ance Australia Reporting period</w:t>
      </w:r>
      <w:r w:rsidR="007E05A0">
        <w:rPr>
          <w:rFonts w:eastAsia="Times New Roman"/>
        </w:rPr>
        <w:br/>
      </w:r>
      <w:r>
        <w:rPr>
          <w:rFonts w:eastAsia="Times New Roman"/>
        </w:rPr>
        <w:t>1 April to 30 June 2019</w:t>
      </w:r>
    </w:p>
    <w:p w:rsidR="009E0275" w:rsidRDefault="009E0275" w:rsidP="000958A3">
      <w:r>
        <w:t>Monica M Lahra and Tiffany R Hogan for the National Neisseria Network, Australia</w:t>
      </w:r>
    </w:p>
    <w:p w:rsidR="009E0275" w:rsidRDefault="009E0275" w:rsidP="000958A3">
      <w:r>
        <w:t xml:space="preserve">The reference laboratories of the National Neisseria Network, Australia report laboratory data on invasive meningococcal disease (IMD) cases confirmed by laboratory testing using culture- and non-culture-based techniques for the Australian Meningococcal Surveillance Programme (AMSP). Culture-positive cases, where Neisseria meningitidis is grown from a normally sterile site or skin lesions, and non-culture-based diagnoses (nucleic acid amplification testing), are defined as IMD by the Public Health Laboratory Network definitions. Data contained in quarterly reports are restricted to a description of the numbers of cases by jurisdiction and serogroup, where known. Some minor corrections to data in Table 1 may be made in subsequent reports if additional data are received. A full analysis of laboratory-confirmed cases of IMD in each calendar year is contained in the AMSP annual report published in Communicable Diseases Intelligence. </w:t>
      </w:r>
    </w:p>
    <w:p w:rsidR="009E0275" w:rsidRPr="000958A3" w:rsidRDefault="009E0275" w:rsidP="000958A3">
      <w:pPr>
        <w:pStyle w:val="Heading1"/>
      </w:pPr>
      <w:r w:rsidRPr="000958A3">
        <w:t xml:space="preserve">Author details </w:t>
      </w:r>
    </w:p>
    <w:p w:rsidR="009E0275" w:rsidRDefault="009E0275" w:rsidP="009E0275">
      <w:r>
        <w:t>Monica M Lahra</w:t>
      </w:r>
      <w:r>
        <w:rPr>
          <w:vertAlign w:val="superscript"/>
        </w:rPr>
        <w:t xml:space="preserve">1,2 </w:t>
      </w:r>
      <w:r>
        <w:t>Tiffany R Hogan</w:t>
      </w:r>
      <w:r>
        <w:rPr>
          <w:vertAlign w:val="superscript"/>
        </w:rPr>
        <w:t xml:space="preserve">1 </w:t>
      </w:r>
    </w:p>
    <w:p w:rsidR="009E0275" w:rsidRPr="006D4E5B" w:rsidRDefault="009E0275" w:rsidP="006D4E5B">
      <w:pPr>
        <w:pStyle w:val="ListParagraph"/>
        <w:numPr>
          <w:ilvl w:val="0"/>
          <w:numId w:val="9"/>
        </w:numPr>
        <w:rPr>
          <w:rFonts w:eastAsia="Times New Roman"/>
        </w:rPr>
      </w:pPr>
      <w:r w:rsidRPr="006D4E5B">
        <w:rPr>
          <w:rFonts w:eastAsia="Times New Roman"/>
        </w:rPr>
        <w:t xml:space="preserve">The World Health Organisation Collaborating Centre for STI and AMR and Neisseria Reference Laboratory, New South Wales Health Pathology, Microbiology; The Prince of Wales Hospital, Randwick, NSW 2031, Australia </w:t>
      </w:r>
    </w:p>
    <w:p w:rsidR="009E0275" w:rsidRPr="006D4E5B" w:rsidRDefault="009E0275" w:rsidP="006D4E5B">
      <w:pPr>
        <w:pStyle w:val="ListParagraph"/>
        <w:numPr>
          <w:ilvl w:val="0"/>
          <w:numId w:val="9"/>
        </w:numPr>
        <w:rPr>
          <w:rFonts w:eastAsia="Times New Roman"/>
        </w:rPr>
      </w:pPr>
      <w:r w:rsidRPr="006D4E5B">
        <w:rPr>
          <w:rFonts w:eastAsia="Times New Roman"/>
        </w:rPr>
        <w:t xml:space="preserve">School of Medical Sciences, Faculty of Medicine, the University of New South Wales, NSW 2053, Australia </w:t>
      </w:r>
    </w:p>
    <w:p w:rsidR="009E0275" w:rsidRPr="000958A3" w:rsidRDefault="009E0275" w:rsidP="000958A3">
      <w:pPr>
        <w:pStyle w:val="Heading2"/>
      </w:pPr>
      <w:r w:rsidRPr="000958A3">
        <w:t xml:space="preserve">Corresponding author </w:t>
      </w:r>
    </w:p>
    <w:p w:rsidR="009E0275" w:rsidRDefault="009E0275" w:rsidP="009E0275">
      <w:r>
        <w:t xml:space="preserve">Professor Monica M Lahra, </w:t>
      </w:r>
    </w:p>
    <w:p w:rsidR="009E0275" w:rsidRDefault="009E0275" w:rsidP="009E0275">
      <w:r>
        <w:t xml:space="preserve">World Health Organization Collaborating Centre for STI and AMR, Sydney, and Neisseria Reference Laboratory, Microbiology Department, SEALS, The Prince of Wales Hospital, Randwick, NSW, 2031. School of Medical Sciences, Faculty of Medicine, the University of New South Wales, NSW 2050 Australia. </w:t>
      </w:r>
    </w:p>
    <w:p w:rsidR="009E0275" w:rsidRDefault="00253101" w:rsidP="009E0275">
      <w:r w:rsidRPr="005B2926">
        <w:rPr>
          <w:b/>
        </w:rPr>
        <w:t>Telephone:</w:t>
      </w:r>
      <w:r>
        <w:t xml:space="preserve"> +61 2 9382 9050.</w:t>
      </w:r>
      <w:r>
        <w:br/>
      </w:r>
      <w:r w:rsidRPr="005B2926">
        <w:rPr>
          <w:b/>
        </w:rPr>
        <w:t xml:space="preserve">Facsimile: </w:t>
      </w:r>
      <w:r>
        <w:t>+61 2 9382 9210.</w:t>
      </w:r>
      <w:r>
        <w:br/>
      </w:r>
      <w:r w:rsidR="009E0275" w:rsidRPr="005B2926">
        <w:rPr>
          <w:b/>
        </w:rPr>
        <w:t>Email:</w:t>
      </w:r>
      <w:r w:rsidR="009E0275">
        <w:t xml:space="preserve"> monica.lahra@health.nsw.gov.au</w:t>
      </w:r>
    </w:p>
    <w:p w:rsidR="00EE6738" w:rsidRDefault="00EE6738">
      <w:pPr>
        <w:sectPr w:rsidR="00EE6738" w:rsidSect="00A30C37">
          <w:headerReference w:type="default" r:id="rId9"/>
          <w:footerReference w:type="default" r:id="rId10"/>
          <w:footerReference w:type="first" r:id="rId11"/>
          <w:pgSz w:w="11906" w:h="16838"/>
          <w:pgMar w:top="720" w:right="720" w:bottom="1134" w:left="720" w:header="709" w:footer="284" w:gutter="0"/>
          <w:cols w:space="708"/>
          <w:titlePg/>
          <w:docGrid w:linePitch="360"/>
        </w:sectPr>
      </w:pPr>
    </w:p>
    <w:p w:rsidR="009E0275" w:rsidRDefault="009E0275" w:rsidP="00EE6738">
      <w:pPr>
        <w:pStyle w:val="CDIFigures"/>
      </w:pPr>
      <w:r>
        <w:lastRenderedPageBreak/>
        <w:t>Table 1: Number of laboratory-confirmed cases of invasive meningococcal disease, Australia, 1 April to 30 June 2019, by serogroup and state or territory</w:t>
      </w:r>
      <w:r w:rsidRPr="009E0275">
        <w:rPr>
          <w:vertAlign w:val="superscript"/>
        </w:rPr>
        <w:t>a</w:t>
      </w:r>
    </w:p>
    <w:tbl>
      <w:tblPr>
        <w:tblStyle w:val="CDI-StandardTable"/>
        <w:tblW w:w="0" w:type="auto"/>
        <w:tblLayout w:type="fixed"/>
        <w:tblCellMar>
          <w:top w:w="57" w:type="dxa"/>
          <w:left w:w="113" w:type="dxa"/>
          <w:bottom w:w="57" w:type="dxa"/>
          <w:right w:w="57" w:type="dxa"/>
        </w:tblCellMar>
        <w:tblLook w:val="04A0" w:firstRow="1" w:lastRow="0" w:firstColumn="1" w:lastColumn="0" w:noHBand="0" w:noVBand="1"/>
        <w:tblDescription w:val="The table shows the number of laboratory confirmed cases of invasive meningococcal disease, Australia, for the period of 1 April to 30 June 2019, and 2019 year to date, by serogroup, and state or territory, and for the corresponding period of 1 April to 30 June 2018, and 2018 year to date."/>
      </w:tblPr>
      <w:tblGrid>
        <w:gridCol w:w="2127"/>
        <w:gridCol w:w="850"/>
        <w:gridCol w:w="992"/>
        <w:gridCol w:w="851"/>
        <w:gridCol w:w="850"/>
        <w:gridCol w:w="851"/>
        <w:gridCol w:w="850"/>
        <w:gridCol w:w="993"/>
        <w:gridCol w:w="850"/>
        <w:gridCol w:w="851"/>
        <w:gridCol w:w="850"/>
        <w:gridCol w:w="851"/>
        <w:gridCol w:w="850"/>
        <w:gridCol w:w="851"/>
        <w:gridCol w:w="708"/>
        <w:gridCol w:w="808"/>
      </w:tblGrid>
      <w:tr w:rsidR="005D04E4" w:rsidRPr="000B50D7" w:rsidTr="007E3ECA">
        <w:trPr>
          <w:cnfStyle w:val="100000000000" w:firstRow="1" w:lastRow="0" w:firstColumn="0" w:lastColumn="0" w:oddVBand="0" w:evenVBand="0" w:oddHBand="0" w:evenHBand="0" w:firstRowFirstColumn="0" w:firstRowLastColumn="0" w:lastRowFirstColumn="0" w:lastRowLastColumn="0"/>
          <w:tblHeader/>
        </w:trPr>
        <w:tc>
          <w:tcPr>
            <w:tcW w:w="2127" w:type="dxa"/>
            <w:tcBorders>
              <w:bottom w:val="single" w:sz="2" w:space="0" w:color="FFFFFF" w:themeColor="background1"/>
              <w:right w:val="single" w:sz="2" w:space="0" w:color="FFFFFF" w:themeColor="background1"/>
            </w:tcBorders>
          </w:tcPr>
          <w:p w:rsidR="005D04E4" w:rsidRPr="001D0AF1" w:rsidRDefault="005D04E4">
            <w:pPr>
              <w:pStyle w:val="NormalWeb"/>
              <w:rPr>
                <w:color w:val="FFFFFF" w:themeColor="background1"/>
                <w:sz w:val="20"/>
                <w:szCs w:val="20"/>
              </w:rPr>
            </w:pPr>
          </w:p>
        </w:tc>
        <w:tc>
          <w:tcPr>
            <w:tcW w:w="850" w:type="dxa"/>
            <w:tcBorders>
              <w:left w:val="single" w:sz="2" w:space="0" w:color="FFFFFF" w:themeColor="background1"/>
              <w:bottom w:val="single" w:sz="2" w:space="0" w:color="FFFFFF" w:themeColor="background1"/>
            </w:tcBorders>
          </w:tcPr>
          <w:p w:rsidR="005D04E4" w:rsidRPr="000B50D7" w:rsidRDefault="005D04E4" w:rsidP="000B50D7">
            <w:pPr>
              <w:pStyle w:val="NormalWeb"/>
              <w:jc w:val="center"/>
              <w:rPr>
                <w:color w:val="FFFFFF" w:themeColor="background1"/>
                <w:sz w:val="20"/>
                <w:szCs w:val="20"/>
              </w:rPr>
            </w:pPr>
          </w:p>
        </w:tc>
        <w:tc>
          <w:tcPr>
            <w:tcW w:w="12006" w:type="dxa"/>
            <w:gridSpan w:val="14"/>
            <w:tcBorders>
              <w:bottom w:val="single" w:sz="2" w:space="0" w:color="FFFFFF" w:themeColor="background1"/>
            </w:tcBorders>
          </w:tcPr>
          <w:p w:rsidR="005D04E4" w:rsidRPr="000B50D7" w:rsidRDefault="005D04E4" w:rsidP="000B50D7">
            <w:pPr>
              <w:pStyle w:val="NormalWeb"/>
              <w:jc w:val="center"/>
              <w:rPr>
                <w:color w:val="FFFFFF" w:themeColor="background1"/>
                <w:sz w:val="20"/>
                <w:szCs w:val="20"/>
              </w:rPr>
            </w:pPr>
            <w:r w:rsidRPr="000B50D7">
              <w:rPr>
                <w:color w:val="FFFFFF" w:themeColor="background1"/>
                <w:sz w:val="20"/>
                <w:szCs w:val="20"/>
              </w:rPr>
              <w:t>Serogroup</w:t>
            </w:r>
          </w:p>
        </w:tc>
      </w:tr>
      <w:tr w:rsidR="005D2F3A" w:rsidRPr="000B50D7" w:rsidTr="007E3ECA">
        <w:trPr>
          <w:cnfStyle w:val="100000000000" w:firstRow="1" w:lastRow="0" w:firstColumn="0" w:lastColumn="0" w:oddVBand="0" w:evenVBand="0" w:oddHBand="0" w:evenHBand="0" w:firstRowFirstColumn="0" w:firstRowLastColumn="0" w:lastRowFirstColumn="0" w:lastRowLastColumn="0"/>
          <w:tblHeader/>
        </w:trPr>
        <w:tc>
          <w:tcPr>
            <w:tcW w:w="2127" w:type="dxa"/>
            <w:tcBorders>
              <w:top w:val="single" w:sz="2" w:space="0" w:color="FFFFFF" w:themeColor="background1"/>
              <w:bottom w:val="single" w:sz="2" w:space="0" w:color="FFFFFF" w:themeColor="background1"/>
              <w:right w:val="single" w:sz="2" w:space="0" w:color="FFFFFF" w:themeColor="background1"/>
            </w:tcBorders>
          </w:tcPr>
          <w:p w:rsidR="005D2F3A" w:rsidRPr="001D0AF1" w:rsidRDefault="005D2F3A">
            <w:pPr>
              <w:pStyle w:val="NormalWeb"/>
              <w:rPr>
                <w:color w:val="FFFFFF" w:themeColor="background1"/>
                <w:sz w:val="20"/>
                <w:szCs w:val="20"/>
              </w:rPr>
            </w:pPr>
            <w:r w:rsidRPr="001D0AF1">
              <w:rPr>
                <w:color w:val="FFFFFF" w:themeColor="background1"/>
                <w:sz w:val="20"/>
                <w:szCs w:val="20"/>
              </w:rPr>
              <w:t>Jurisdiction</w:t>
            </w:r>
          </w:p>
        </w:tc>
        <w:tc>
          <w:tcPr>
            <w:tcW w:w="850" w:type="dxa"/>
            <w:vMerge w:val="restart"/>
            <w:tcBorders>
              <w:top w:val="single" w:sz="2" w:space="0" w:color="FFFFFF" w:themeColor="background1"/>
              <w:left w:val="single" w:sz="2" w:space="0" w:color="FFFFFF" w:themeColor="background1"/>
              <w:right w:val="single" w:sz="2" w:space="0" w:color="FFFFFF" w:themeColor="background1"/>
            </w:tcBorders>
            <w:vAlign w:val="center"/>
          </w:tcPr>
          <w:p w:rsidR="005D2F3A" w:rsidRPr="000B50D7" w:rsidRDefault="005D2F3A" w:rsidP="005D2F3A">
            <w:pPr>
              <w:pStyle w:val="NormalWeb"/>
              <w:jc w:val="center"/>
              <w:rPr>
                <w:sz w:val="20"/>
                <w:szCs w:val="20"/>
              </w:rPr>
            </w:pPr>
            <w:r w:rsidRPr="000B50D7">
              <w:rPr>
                <w:color w:val="FFFFFF" w:themeColor="background1"/>
                <w:sz w:val="20"/>
                <w:szCs w:val="20"/>
              </w:rPr>
              <w:t>Year</w:t>
            </w:r>
          </w:p>
        </w:tc>
        <w:tc>
          <w:tcPr>
            <w:tcW w:w="1843"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D2F3A" w:rsidRPr="000B50D7" w:rsidRDefault="005D2F3A" w:rsidP="000B50D7">
            <w:pPr>
              <w:pStyle w:val="NormalWeb"/>
              <w:jc w:val="center"/>
              <w:rPr>
                <w:sz w:val="20"/>
                <w:szCs w:val="20"/>
              </w:rPr>
            </w:pPr>
            <w:r w:rsidRPr="000B50D7">
              <w:rPr>
                <w:color w:val="FFFFFF" w:themeColor="background1"/>
                <w:sz w:val="20"/>
                <w:szCs w:val="20"/>
              </w:rPr>
              <w:t>A</w:t>
            </w:r>
          </w:p>
        </w:tc>
        <w:tc>
          <w:tcPr>
            <w:tcW w:w="170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D2F3A" w:rsidRPr="000B50D7" w:rsidRDefault="005D2F3A" w:rsidP="000B50D7">
            <w:pPr>
              <w:pStyle w:val="NormalWeb"/>
              <w:jc w:val="center"/>
              <w:rPr>
                <w:sz w:val="20"/>
                <w:szCs w:val="20"/>
              </w:rPr>
            </w:pPr>
            <w:r w:rsidRPr="000B50D7">
              <w:rPr>
                <w:color w:val="FFFFFF" w:themeColor="background1"/>
                <w:sz w:val="20"/>
                <w:szCs w:val="20"/>
              </w:rPr>
              <w:t>B</w:t>
            </w:r>
          </w:p>
        </w:tc>
        <w:tc>
          <w:tcPr>
            <w:tcW w:w="1843"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D2F3A" w:rsidRPr="000B50D7" w:rsidRDefault="005D2F3A" w:rsidP="000B50D7">
            <w:pPr>
              <w:pStyle w:val="NormalWeb"/>
              <w:jc w:val="center"/>
              <w:rPr>
                <w:sz w:val="20"/>
                <w:szCs w:val="20"/>
              </w:rPr>
            </w:pPr>
            <w:r w:rsidRPr="000B50D7">
              <w:rPr>
                <w:color w:val="FFFFFF" w:themeColor="background1"/>
                <w:sz w:val="20"/>
                <w:szCs w:val="20"/>
              </w:rPr>
              <w:t>C</w:t>
            </w:r>
          </w:p>
        </w:tc>
        <w:tc>
          <w:tcPr>
            <w:tcW w:w="170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D2F3A" w:rsidRPr="000B50D7" w:rsidRDefault="005D2F3A" w:rsidP="000B50D7">
            <w:pPr>
              <w:pStyle w:val="NormalWeb"/>
              <w:jc w:val="center"/>
              <w:rPr>
                <w:sz w:val="20"/>
                <w:szCs w:val="20"/>
              </w:rPr>
            </w:pPr>
            <w:r w:rsidRPr="000B50D7">
              <w:rPr>
                <w:color w:val="FFFFFF" w:themeColor="background1"/>
                <w:sz w:val="20"/>
                <w:szCs w:val="20"/>
              </w:rPr>
              <w:t>Y</w:t>
            </w:r>
          </w:p>
        </w:tc>
        <w:tc>
          <w:tcPr>
            <w:tcW w:w="170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D2F3A" w:rsidRPr="000B50D7" w:rsidRDefault="005D2F3A" w:rsidP="000B50D7">
            <w:pPr>
              <w:pStyle w:val="NormalWeb"/>
              <w:jc w:val="center"/>
              <w:rPr>
                <w:sz w:val="20"/>
                <w:szCs w:val="20"/>
              </w:rPr>
            </w:pPr>
            <w:r w:rsidRPr="000B50D7">
              <w:rPr>
                <w:color w:val="FFFFFF" w:themeColor="background1"/>
                <w:sz w:val="20"/>
                <w:szCs w:val="20"/>
              </w:rPr>
              <w:t>W</w:t>
            </w:r>
          </w:p>
        </w:tc>
        <w:tc>
          <w:tcPr>
            <w:tcW w:w="170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D2F3A" w:rsidRPr="000B50D7" w:rsidRDefault="005D2F3A" w:rsidP="000B50D7">
            <w:pPr>
              <w:pStyle w:val="NormalWeb"/>
              <w:jc w:val="center"/>
              <w:rPr>
                <w:sz w:val="20"/>
                <w:szCs w:val="20"/>
              </w:rPr>
            </w:pPr>
            <w:r w:rsidRPr="000B50D7">
              <w:rPr>
                <w:color w:val="FFFFFF" w:themeColor="background1"/>
                <w:sz w:val="20"/>
                <w:szCs w:val="20"/>
              </w:rPr>
              <w:t>ND/other</w:t>
            </w:r>
            <w:r w:rsidRPr="000B50D7">
              <w:rPr>
                <w:color w:val="FFFFFF" w:themeColor="background1"/>
                <w:sz w:val="20"/>
                <w:szCs w:val="20"/>
                <w:vertAlign w:val="superscript"/>
              </w:rPr>
              <w:t>b</w:t>
            </w:r>
          </w:p>
        </w:tc>
        <w:tc>
          <w:tcPr>
            <w:tcW w:w="1516" w:type="dxa"/>
            <w:gridSpan w:val="2"/>
            <w:tcBorders>
              <w:top w:val="single" w:sz="2" w:space="0" w:color="FFFFFF" w:themeColor="background1"/>
              <w:left w:val="single" w:sz="2" w:space="0" w:color="FFFFFF" w:themeColor="background1"/>
              <w:bottom w:val="single" w:sz="2" w:space="0" w:color="FFFFFF" w:themeColor="background1"/>
            </w:tcBorders>
          </w:tcPr>
          <w:p w:rsidR="005D2F3A" w:rsidRPr="000B50D7" w:rsidRDefault="005D2F3A" w:rsidP="000B50D7">
            <w:pPr>
              <w:pStyle w:val="NormalWeb"/>
              <w:jc w:val="center"/>
              <w:rPr>
                <w:sz w:val="20"/>
                <w:szCs w:val="20"/>
              </w:rPr>
            </w:pPr>
            <w:r w:rsidRPr="000B50D7">
              <w:rPr>
                <w:color w:val="FFFFFF" w:themeColor="background1"/>
                <w:sz w:val="20"/>
                <w:szCs w:val="20"/>
              </w:rPr>
              <w:t>All</w:t>
            </w:r>
          </w:p>
        </w:tc>
      </w:tr>
      <w:tr w:rsidR="00CA0AA3" w:rsidRPr="000B50D7" w:rsidTr="00CA0AA3">
        <w:trPr>
          <w:cnfStyle w:val="100000000000" w:firstRow="1" w:lastRow="0" w:firstColumn="0" w:lastColumn="0" w:oddVBand="0" w:evenVBand="0" w:oddHBand="0" w:evenHBand="0" w:firstRowFirstColumn="0" w:firstRowLastColumn="0" w:lastRowFirstColumn="0" w:lastRowLastColumn="0"/>
          <w:tblHeader/>
        </w:trPr>
        <w:tc>
          <w:tcPr>
            <w:tcW w:w="2127" w:type="dxa"/>
            <w:tcBorders>
              <w:top w:val="single" w:sz="2" w:space="0" w:color="FFFFFF" w:themeColor="background1"/>
              <w:right w:val="single" w:sz="2" w:space="0" w:color="FFFFFF" w:themeColor="background1"/>
            </w:tcBorders>
          </w:tcPr>
          <w:p w:rsidR="005D2F3A" w:rsidRPr="001D0AF1" w:rsidRDefault="005D2F3A" w:rsidP="003A74D8">
            <w:pPr>
              <w:pStyle w:val="NormalWeb"/>
              <w:jc w:val="center"/>
              <w:rPr>
                <w:color w:val="FFFFFF" w:themeColor="background1"/>
                <w:sz w:val="20"/>
                <w:szCs w:val="20"/>
              </w:rPr>
            </w:pPr>
          </w:p>
        </w:tc>
        <w:tc>
          <w:tcPr>
            <w:tcW w:w="850" w:type="dxa"/>
            <w:vMerge/>
            <w:tcBorders>
              <w:left w:val="single" w:sz="2" w:space="0" w:color="FFFFFF" w:themeColor="background1"/>
              <w:right w:val="single" w:sz="2" w:space="0" w:color="FFFFFF" w:themeColor="background1"/>
            </w:tcBorders>
          </w:tcPr>
          <w:p w:rsidR="005D2F3A" w:rsidRPr="000B50D7" w:rsidRDefault="005D2F3A" w:rsidP="000B50D7">
            <w:pPr>
              <w:pStyle w:val="NormalWeb"/>
              <w:jc w:val="center"/>
              <w:rPr>
                <w:sz w:val="20"/>
                <w:szCs w:val="20"/>
              </w:rPr>
            </w:pPr>
          </w:p>
        </w:tc>
        <w:tc>
          <w:tcPr>
            <w:tcW w:w="992" w:type="dxa"/>
            <w:tcBorders>
              <w:top w:val="single" w:sz="2" w:space="0" w:color="FFFFFF" w:themeColor="background1"/>
              <w:left w:val="single" w:sz="2" w:space="0" w:color="FFFFFF" w:themeColor="background1"/>
              <w:right w:val="single" w:sz="2" w:space="0" w:color="FFFFFF" w:themeColor="background1"/>
            </w:tcBorders>
          </w:tcPr>
          <w:p w:rsidR="005D2F3A" w:rsidRPr="000B50D7" w:rsidRDefault="005D2F3A" w:rsidP="000B50D7">
            <w:pPr>
              <w:pStyle w:val="NormalWeb"/>
              <w:jc w:val="center"/>
              <w:rPr>
                <w:sz w:val="20"/>
                <w:szCs w:val="20"/>
              </w:rPr>
            </w:pPr>
            <w:r w:rsidRPr="000B50D7">
              <w:rPr>
                <w:color w:val="FFFFFF" w:themeColor="background1"/>
                <w:sz w:val="20"/>
                <w:szCs w:val="20"/>
              </w:rPr>
              <w:t>Q2</w:t>
            </w:r>
          </w:p>
        </w:tc>
        <w:tc>
          <w:tcPr>
            <w:tcW w:w="851" w:type="dxa"/>
            <w:tcBorders>
              <w:top w:val="single" w:sz="2" w:space="0" w:color="FFFFFF" w:themeColor="background1"/>
              <w:left w:val="single" w:sz="2" w:space="0" w:color="FFFFFF" w:themeColor="background1"/>
              <w:right w:val="single" w:sz="2" w:space="0" w:color="FFFFFF" w:themeColor="background1"/>
            </w:tcBorders>
          </w:tcPr>
          <w:p w:rsidR="005D2F3A" w:rsidRPr="000B50D7" w:rsidRDefault="005D2F3A" w:rsidP="000B50D7">
            <w:pPr>
              <w:pStyle w:val="NormalWeb"/>
              <w:jc w:val="center"/>
              <w:rPr>
                <w:sz w:val="20"/>
                <w:szCs w:val="20"/>
              </w:rPr>
            </w:pPr>
            <w:r w:rsidRPr="000B50D7">
              <w:rPr>
                <w:color w:val="FFFFFF" w:themeColor="background1"/>
                <w:sz w:val="20"/>
                <w:szCs w:val="20"/>
              </w:rPr>
              <w:t>ytd</w:t>
            </w:r>
          </w:p>
        </w:tc>
        <w:tc>
          <w:tcPr>
            <w:tcW w:w="850" w:type="dxa"/>
            <w:tcBorders>
              <w:top w:val="single" w:sz="2" w:space="0" w:color="FFFFFF" w:themeColor="background1"/>
              <w:left w:val="single" w:sz="2" w:space="0" w:color="FFFFFF" w:themeColor="background1"/>
              <w:right w:val="single" w:sz="2" w:space="0" w:color="FFFFFF" w:themeColor="background1"/>
            </w:tcBorders>
          </w:tcPr>
          <w:p w:rsidR="005D2F3A" w:rsidRPr="000B50D7" w:rsidRDefault="005D2F3A" w:rsidP="000B50D7">
            <w:pPr>
              <w:pStyle w:val="NormalWeb"/>
              <w:jc w:val="center"/>
              <w:rPr>
                <w:sz w:val="20"/>
                <w:szCs w:val="20"/>
              </w:rPr>
            </w:pPr>
            <w:r w:rsidRPr="000B50D7">
              <w:rPr>
                <w:color w:val="FFFFFF" w:themeColor="background1"/>
                <w:sz w:val="20"/>
                <w:szCs w:val="20"/>
              </w:rPr>
              <w:t>Q2</w:t>
            </w:r>
          </w:p>
        </w:tc>
        <w:tc>
          <w:tcPr>
            <w:tcW w:w="851" w:type="dxa"/>
            <w:tcBorders>
              <w:top w:val="single" w:sz="2" w:space="0" w:color="FFFFFF" w:themeColor="background1"/>
              <w:left w:val="single" w:sz="2" w:space="0" w:color="FFFFFF" w:themeColor="background1"/>
              <w:right w:val="single" w:sz="2" w:space="0" w:color="FFFFFF" w:themeColor="background1"/>
            </w:tcBorders>
          </w:tcPr>
          <w:p w:rsidR="005D2F3A" w:rsidRPr="000B50D7" w:rsidRDefault="005D2F3A" w:rsidP="000B50D7">
            <w:pPr>
              <w:pStyle w:val="NormalWeb"/>
              <w:jc w:val="center"/>
              <w:rPr>
                <w:sz w:val="20"/>
                <w:szCs w:val="20"/>
              </w:rPr>
            </w:pPr>
            <w:r w:rsidRPr="000B50D7">
              <w:rPr>
                <w:color w:val="FFFFFF" w:themeColor="background1"/>
                <w:sz w:val="20"/>
                <w:szCs w:val="20"/>
              </w:rPr>
              <w:t>ytd</w:t>
            </w:r>
          </w:p>
        </w:tc>
        <w:tc>
          <w:tcPr>
            <w:tcW w:w="850" w:type="dxa"/>
            <w:tcBorders>
              <w:top w:val="single" w:sz="2" w:space="0" w:color="FFFFFF" w:themeColor="background1"/>
              <w:left w:val="single" w:sz="2" w:space="0" w:color="FFFFFF" w:themeColor="background1"/>
              <w:right w:val="single" w:sz="2" w:space="0" w:color="FFFFFF" w:themeColor="background1"/>
            </w:tcBorders>
          </w:tcPr>
          <w:p w:rsidR="005D2F3A" w:rsidRPr="000B50D7" w:rsidRDefault="005D2F3A" w:rsidP="000B50D7">
            <w:pPr>
              <w:pStyle w:val="NormalWeb"/>
              <w:jc w:val="center"/>
              <w:rPr>
                <w:sz w:val="20"/>
                <w:szCs w:val="20"/>
              </w:rPr>
            </w:pPr>
            <w:r w:rsidRPr="000B50D7">
              <w:rPr>
                <w:color w:val="FFFFFF" w:themeColor="background1"/>
                <w:sz w:val="20"/>
                <w:szCs w:val="20"/>
              </w:rPr>
              <w:t>Q2</w:t>
            </w:r>
          </w:p>
        </w:tc>
        <w:tc>
          <w:tcPr>
            <w:tcW w:w="993" w:type="dxa"/>
            <w:tcBorders>
              <w:top w:val="single" w:sz="2" w:space="0" w:color="FFFFFF" w:themeColor="background1"/>
              <w:left w:val="single" w:sz="2" w:space="0" w:color="FFFFFF" w:themeColor="background1"/>
              <w:right w:val="single" w:sz="2" w:space="0" w:color="FFFFFF" w:themeColor="background1"/>
            </w:tcBorders>
          </w:tcPr>
          <w:p w:rsidR="005D2F3A" w:rsidRPr="000B50D7" w:rsidRDefault="005D2F3A" w:rsidP="000B50D7">
            <w:pPr>
              <w:pStyle w:val="NormalWeb"/>
              <w:jc w:val="center"/>
              <w:rPr>
                <w:sz w:val="20"/>
                <w:szCs w:val="20"/>
              </w:rPr>
            </w:pPr>
            <w:r w:rsidRPr="000B50D7">
              <w:rPr>
                <w:color w:val="FFFFFF" w:themeColor="background1"/>
                <w:sz w:val="20"/>
                <w:szCs w:val="20"/>
              </w:rPr>
              <w:t>ytd</w:t>
            </w:r>
          </w:p>
        </w:tc>
        <w:tc>
          <w:tcPr>
            <w:tcW w:w="850" w:type="dxa"/>
            <w:tcBorders>
              <w:top w:val="single" w:sz="2" w:space="0" w:color="FFFFFF" w:themeColor="background1"/>
              <w:left w:val="single" w:sz="2" w:space="0" w:color="FFFFFF" w:themeColor="background1"/>
              <w:right w:val="single" w:sz="2" w:space="0" w:color="FFFFFF" w:themeColor="background1"/>
            </w:tcBorders>
          </w:tcPr>
          <w:p w:rsidR="005D2F3A" w:rsidRPr="000B50D7" w:rsidRDefault="005D2F3A" w:rsidP="000B50D7">
            <w:pPr>
              <w:pStyle w:val="NormalWeb"/>
              <w:jc w:val="center"/>
              <w:rPr>
                <w:sz w:val="20"/>
                <w:szCs w:val="20"/>
              </w:rPr>
            </w:pPr>
            <w:r w:rsidRPr="000B50D7">
              <w:rPr>
                <w:color w:val="FFFFFF" w:themeColor="background1"/>
                <w:sz w:val="20"/>
                <w:szCs w:val="20"/>
              </w:rPr>
              <w:t>Q2</w:t>
            </w:r>
          </w:p>
        </w:tc>
        <w:tc>
          <w:tcPr>
            <w:tcW w:w="851" w:type="dxa"/>
            <w:tcBorders>
              <w:top w:val="single" w:sz="2" w:space="0" w:color="FFFFFF" w:themeColor="background1"/>
              <w:left w:val="single" w:sz="2" w:space="0" w:color="FFFFFF" w:themeColor="background1"/>
              <w:right w:val="single" w:sz="2" w:space="0" w:color="FFFFFF" w:themeColor="background1"/>
            </w:tcBorders>
          </w:tcPr>
          <w:p w:rsidR="005D2F3A" w:rsidRPr="000B50D7" w:rsidRDefault="005D2F3A" w:rsidP="000B50D7">
            <w:pPr>
              <w:pStyle w:val="NormalWeb"/>
              <w:jc w:val="center"/>
              <w:rPr>
                <w:sz w:val="20"/>
                <w:szCs w:val="20"/>
              </w:rPr>
            </w:pPr>
            <w:r w:rsidRPr="000B50D7">
              <w:rPr>
                <w:color w:val="FFFFFF" w:themeColor="background1"/>
                <w:sz w:val="20"/>
                <w:szCs w:val="20"/>
              </w:rPr>
              <w:t>ytd</w:t>
            </w:r>
          </w:p>
        </w:tc>
        <w:tc>
          <w:tcPr>
            <w:tcW w:w="850" w:type="dxa"/>
            <w:tcBorders>
              <w:top w:val="single" w:sz="2" w:space="0" w:color="FFFFFF" w:themeColor="background1"/>
              <w:left w:val="single" w:sz="2" w:space="0" w:color="FFFFFF" w:themeColor="background1"/>
              <w:right w:val="single" w:sz="2" w:space="0" w:color="FFFFFF" w:themeColor="background1"/>
            </w:tcBorders>
          </w:tcPr>
          <w:p w:rsidR="005D2F3A" w:rsidRPr="000B50D7" w:rsidRDefault="005D2F3A" w:rsidP="000B50D7">
            <w:pPr>
              <w:pStyle w:val="NormalWeb"/>
              <w:jc w:val="center"/>
              <w:rPr>
                <w:sz w:val="20"/>
                <w:szCs w:val="20"/>
              </w:rPr>
            </w:pPr>
            <w:r w:rsidRPr="000B50D7">
              <w:rPr>
                <w:color w:val="FFFFFF" w:themeColor="background1"/>
                <w:sz w:val="20"/>
                <w:szCs w:val="20"/>
              </w:rPr>
              <w:t>Q2</w:t>
            </w:r>
          </w:p>
        </w:tc>
        <w:tc>
          <w:tcPr>
            <w:tcW w:w="851" w:type="dxa"/>
            <w:tcBorders>
              <w:top w:val="single" w:sz="2" w:space="0" w:color="FFFFFF" w:themeColor="background1"/>
              <w:left w:val="single" w:sz="2" w:space="0" w:color="FFFFFF" w:themeColor="background1"/>
              <w:right w:val="single" w:sz="2" w:space="0" w:color="FFFFFF" w:themeColor="background1"/>
            </w:tcBorders>
          </w:tcPr>
          <w:p w:rsidR="005D2F3A" w:rsidRPr="000B50D7" w:rsidRDefault="005D2F3A" w:rsidP="000B50D7">
            <w:pPr>
              <w:pStyle w:val="NormalWeb"/>
              <w:jc w:val="center"/>
              <w:rPr>
                <w:sz w:val="20"/>
                <w:szCs w:val="20"/>
              </w:rPr>
            </w:pPr>
            <w:r w:rsidRPr="000B50D7">
              <w:rPr>
                <w:color w:val="FFFFFF" w:themeColor="background1"/>
                <w:sz w:val="20"/>
                <w:szCs w:val="20"/>
              </w:rPr>
              <w:t>ytd</w:t>
            </w:r>
          </w:p>
        </w:tc>
        <w:tc>
          <w:tcPr>
            <w:tcW w:w="850" w:type="dxa"/>
            <w:tcBorders>
              <w:top w:val="single" w:sz="2" w:space="0" w:color="FFFFFF" w:themeColor="background1"/>
              <w:left w:val="single" w:sz="2" w:space="0" w:color="FFFFFF" w:themeColor="background1"/>
              <w:right w:val="single" w:sz="2" w:space="0" w:color="FFFFFF" w:themeColor="background1"/>
            </w:tcBorders>
          </w:tcPr>
          <w:p w:rsidR="005D2F3A" w:rsidRPr="000B50D7" w:rsidRDefault="005D2F3A" w:rsidP="000B50D7">
            <w:pPr>
              <w:pStyle w:val="NormalWeb"/>
              <w:jc w:val="center"/>
              <w:rPr>
                <w:sz w:val="20"/>
                <w:szCs w:val="20"/>
              </w:rPr>
            </w:pPr>
            <w:r w:rsidRPr="000B50D7">
              <w:rPr>
                <w:color w:val="FFFFFF" w:themeColor="background1"/>
                <w:sz w:val="20"/>
                <w:szCs w:val="20"/>
              </w:rPr>
              <w:t>Q2</w:t>
            </w:r>
          </w:p>
        </w:tc>
        <w:tc>
          <w:tcPr>
            <w:tcW w:w="851" w:type="dxa"/>
            <w:tcBorders>
              <w:top w:val="single" w:sz="2" w:space="0" w:color="FFFFFF" w:themeColor="background1"/>
              <w:left w:val="single" w:sz="2" w:space="0" w:color="FFFFFF" w:themeColor="background1"/>
              <w:right w:val="single" w:sz="2" w:space="0" w:color="FFFFFF" w:themeColor="background1"/>
            </w:tcBorders>
          </w:tcPr>
          <w:p w:rsidR="005D2F3A" w:rsidRPr="000B50D7" w:rsidRDefault="005D2F3A" w:rsidP="000B50D7">
            <w:pPr>
              <w:pStyle w:val="NormalWeb"/>
              <w:jc w:val="center"/>
              <w:rPr>
                <w:sz w:val="20"/>
                <w:szCs w:val="20"/>
              </w:rPr>
            </w:pPr>
            <w:r w:rsidRPr="000B50D7">
              <w:rPr>
                <w:color w:val="FFFFFF" w:themeColor="background1"/>
                <w:sz w:val="20"/>
                <w:szCs w:val="20"/>
              </w:rPr>
              <w:t>ytd</w:t>
            </w:r>
          </w:p>
        </w:tc>
        <w:tc>
          <w:tcPr>
            <w:tcW w:w="708" w:type="dxa"/>
            <w:tcBorders>
              <w:top w:val="single" w:sz="2" w:space="0" w:color="FFFFFF" w:themeColor="background1"/>
              <w:left w:val="single" w:sz="2" w:space="0" w:color="FFFFFF" w:themeColor="background1"/>
              <w:right w:val="single" w:sz="2" w:space="0" w:color="FFFFFF" w:themeColor="background1"/>
            </w:tcBorders>
          </w:tcPr>
          <w:p w:rsidR="005D2F3A" w:rsidRPr="000B50D7" w:rsidRDefault="005D2F3A" w:rsidP="000B50D7">
            <w:pPr>
              <w:pStyle w:val="NormalWeb"/>
              <w:jc w:val="center"/>
              <w:rPr>
                <w:sz w:val="20"/>
                <w:szCs w:val="20"/>
              </w:rPr>
            </w:pPr>
            <w:r w:rsidRPr="000B50D7">
              <w:rPr>
                <w:color w:val="FFFFFF" w:themeColor="background1"/>
                <w:sz w:val="20"/>
                <w:szCs w:val="20"/>
              </w:rPr>
              <w:t>Q2</w:t>
            </w:r>
          </w:p>
        </w:tc>
        <w:tc>
          <w:tcPr>
            <w:tcW w:w="808" w:type="dxa"/>
            <w:tcBorders>
              <w:top w:val="single" w:sz="2" w:space="0" w:color="FFFFFF" w:themeColor="background1"/>
              <w:left w:val="single" w:sz="2" w:space="0" w:color="FFFFFF" w:themeColor="background1"/>
            </w:tcBorders>
          </w:tcPr>
          <w:p w:rsidR="005D2F3A" w:rsidRPr="000B50D7" w:rsidRDefault="005D2F3A" w:rsidP="000B50D7">
            <w:pPr>
              <w:pStyle w:val="NormalWeb"/>
              <w:jc w:val="center"/>
              <w:rPr>
                <w:sz w:val="20"/>
                <w:szCs w:val="20"/>
              </w:rPr>
            </w:pPr>
            <w:r w:rsidRPr="000B50D7">
              <w:rPr>
                <w:color w:val="FFFFFF" w:themeColor="background1"/>
                <w:sz w:val="20"/>
                <w:szCs w:val="20"/>
              </w:rPr>
              <w:t>ytd</w:t>
            </w:r>
          </w:p>
        </w:tc>
      </w:tr>
      <w:tr w:rsidR="007854C6" w:rsidRPr="000B50D7" w:rsidTr="00CA0AA3">
        <w:tc>
          <w:tcPr>
            <w:tcW w:w="2127" w:type="dxa"/>
            <w:vMerge w:val="restart"/>
            <w:shd w:val="clear" w:color="auto" w:fill="404040" w:themeFill="text1" w:themeFillTint="BF"/>
            <w:hideMark/>
          </w:tcPr>
          <w:p w:rsidR="009E0275" w:rsidRPr="001D0AF1" w:rsidRDefault="009E0275">
            <w:pPr>
              <w:pStyle w:val="NormalWeb"/>
              <w:rPr>
                <w:b/>
                <w:color w:val="FFFFFF" w:themeColor="background1"/>
                <w:sz w:val="20"/>
                <w:szCs w:val="20"/>
              </w:rPr>
            </w:pPr>
            <w:r w:rsidRPr="001D0AF1">
              <w:rPr>
                <w:b/>
                <w:color w:val="FFFFFF" w:themeColor="background1"/>
                <w:sz w:val="20"/>
                <w:szCs w:val="20"/>
              </w:rPr>
              <w:t>Australian Capital Territory</w:t>
            </w:r>
          </w:p>
        </w:tc>
        <w:tc>
          <w:tcPr>
            <w:tcW w:w="850" w:type="dxa"/>
            <w:tcBorders>
              <w:right w:val="single" w:sz="4" w:space="0" w:color="auto"/>
            </w:tcBorders>
            <w:hideMark/>
          </w:tcPr>
          <w:p w:rsidR="009E0275" w:rsidRPr="000B50D7" w:rsidRDefault="009E0275" w:rsidP="000B50D7">
            <w:pPr>
              <w:pStyle w:val="NormalWeb"/>
              <w:jc w:val="center"/>
              <w:rPr>
                <w:b/>
                <w:sz w:val="20"/>
                <w:szCs w:val="20"/>
              </w:rPr>
            </w:pPr>
            <w:r w:rsidRPr="000B50D7">
              <w:rPr>
                <w:b/>
                <w:sz w:val="20"/>
                <w:szCs w:val="20"/>
              </w:rPr>
              <w:t>2019</w:t>
            </w:r>
          </w:p>
        </w:tc>
        <w:tc>
          <w:tcPr>
            <w:tcW w:w="992"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993"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708"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08" w:type="dxa"/>
            <w:hideMark/>
          </w:tcPr>
          <w:p w:rsidR="009E0275" w:rsidRPr="000B50D7" w:rsidRDefault="009E0275" w:rsidP="000B50D7">
            <w:pPr>
              <w:pStyle w:val="NormalWeb"/>
              <w:jc w:val="center"/>
              <w:rPr>
                <w:sz w:val="20"/>
                <w:szCs w:val="20"/>
              </w:rPr>
            </w:pPr>
            <w:r w:rsidRPr="000B50D7">
              <w:rPr>
                <w:sz w:val="20"/>
                <w:szCs w:val="20"/>
              </w:rPr>
              <w:t>1</w:t>
            </w:r>
          </w:p>
        </w:tc>
      </w:tr>
      <w:tr w:rsidR="00BB004F" w:rsidRPr="000B50D7" w:rsidTr="00CA0AA3">
        <w:trPr>
          <w:cnfStyle w:val="000000010000" w:firstRow="0" w:lastRow="0" w:firstColumn="0" w:lastColumn="0" w:oddVBand="0" w:evenVBand="0" w:oddHBand="0" w:evenHBand="1" w:firstRowFirstColumn="0" w:firstRowLastColumn="0" w:lastRowFirstColumn="0" w:lastRowLastColumn="0"/>
        </w:trPr>
        <w:tc>
          <w:tcPr>
            <w:tcW w:w="2127" w:type="dxa"/>
            <w:vMerge/>
            <w:shd w:val="clear" w:color="auto" w:fill="404040" w:themeFill="text1" w:themeFillTint="BF"/>
            <w:hideMark/>
          </w:tcPr>
          <w:p w:rsidR="009E0275" w:rsidRPr="001D0AF1" w:rsidRDefault="009E0275">
            <w:pPr>
              <w:rPr>
                <w:b/>
                <w:color w:val="FFFFFF" w:themeColor="background1"/>
                <w:sz w:val="20"/>
                <w:szCs w:val="20"/>
              </w:rPr>
            </w:pPr>
          </w:p>
        </w:tc>
        <w:tc>
          <w:tcPr>
            <w:tcW w:w="850" w:type="dxa"/>
            <w:tcBorders>
              <w:right w:val="single" w:sz="4" w:space="0" w:color="auto"/>
            </w:tcBorders>
            <w:hideMark/>
          </w:tcPr>
          <w:p w:rsidR="009E0275" w:rsidRPr="000B50D7" w:rsidRDefault="009E0275" w:rsidP="000B50D7">
            <w:pPr>
              <w:pStyle w:val="NormalWeb"/>
              <w:jc w:val="center"/>
              <w:rPr>
                <w:b/>
                <w:sz w:val="20"/>
                <w:szCs w:val="20"/>
              </w:rPr>
            </w:pPr>
            <w:r w:rsidRPr="000B50D7">
              <w:rPr>
                <w:b/>
                <w:sz w:val="20"/>
                <w:szCs w:val="20"/>
              </w:rPr>
              <w:t>2018</w:t>
            </w:r>
          </w:p>
        </w:tc>
        <w:tc>
          <w:tcPr>
            <w:tcW w:w="992"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993"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708"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08" w:type="dxa"/>
            <w:hideMark/>
          </w:tcPr>
          <w:p w:rsidR="009E0275" w:rsidRPr="000B50D7" w:rsidRDefault="009E0275" w:rsidP="000B50D7">
            <w:pPr>
              <w:pStyle w:val="NormalWeb"/>
              <w:jc w:val="center"/>
              <w:rPr>
                <w:sz w:val="20"/>
                <w:szCs w:val="20"/>
              </w:rPr>
            </w:pPr>
            <w:r w:rsidRPr="000B50D7">
              <w:rPr>
                <w:sz w:val="20"/>
                <w:szCs w:val="20"/>
              </w:rPr>
              <w:t>1</w:t>
            </w:r>
          </w:p>
        </w:tc>
      </w:tr>
      <w:tr w:rsidR="007854C6" w:rsidRPr="000B50D7" w:rsidTr="00CA0AA3">
        <w:tc>
          <w:tcPr>
            <w:tcW w:w="2127" w:type="dxa"/>
            <w:vMerge w:val="restart"/>
            <w:shd w:val="clear" w:color="auto" w:fill="404040" w:themeFill="text1" w:themeFillTint="BF"/>
            <w:hideMark/>
          </w:tcPr>
          <w:p w:rsidR="009E0275" w:rsidRPr="001D0AF1" w:rsidRDefault="009E0275">
            <w:pPr>
              <w:pStyle w:val="NormalWeb"/>
              <w:rPr>
                <w:b/>
                <w:color w:val="FFFFFF" w:themeColor="background1"/>
                <w:sz w:val="20"/>
                <w:szCs w:val="20"/>
              </w:rPr>
            </w:pPr>
            <w:r w:rsidRPr="001D0AF1">
              <w:rPr>
                <w:b/>
                <w:color w:val="FFFFFF" w:themeColor="background1"/>
                <w:sz w:val="20"/>
                <w:szCs w:val="20"/>
                <w:lang w:val="en-US"/>
              </w:rPr>
              <w:t>New South Wales</w:t>
            </w:r>
          </w:p>
        </w:tc>
        <w:tc>
          <w:tcPr>
            <w:tcW w:w="850" w:type="dxa"/>
            <w:tcBorders>
              <w:right w:val="single" w:sz="4" w:space="0" w:color="auto"/>
            </w:tcBorders>
            <w:hideMark/>
          </w:tcPr>
          <w:p w:rsidR="009E0275" w:rsidRPr="000B50D7" w:rsidRDefault="009E0275" w:rsidP="000B50D7">
            <w:pPr>
              <w:pStyle w:val="NormalWeb"/>
              <w:jc w:val="center"/>
              <w:rPr>
                <w:b/>
                <w:sz w:val="20"/>
                <w:szCs w:val="20"/>
              </w:rPr>
            </w:pPr>
            <w:r w:rsidRPr="000B50D7">
              <w:rPr>
                <w:b/>
                <w:sz w:val="20"/>
                <w:szCs w:val="20"/>
              </w:rPr>
              <w:t>2019</w:t>
            </w:r>
          </w:p>
        </w:tc>
        <w:tc>
          <w:tcPr>
            <w:tcW w:w="992"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4</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10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993"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3</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708"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6</w:t>
            </w:r>
          </w:p>
        </w:tc>
        <w:tc>
          <w:tcPr>
            <w:tcW w:w="808" w:type="dxa"/>
            <w:hideMark/>
          </w:tcPr>
          <w:p w:rsidR="009E0275" w:rsidRPr="000B50D7" w:rsidRDefault="009E0275" w:rsidP="000B50D7">
            <w:pPr>
              <w:pStyle w:val="NormalWeb"/>
              <w:jc w:val="center"/>
              <w:rPr>
                <w:sz w:val="20"/>
                <w:szCs w:val="20"/>
              </w:rPr>
            </w:pPr>
            <w:r w:rsidRPr="000B50D7">
              <w:rPr>
                <w:sz w:val="20"/>
                <w:szCs w:val="20"/>
              </w:rPr>
              <w:t>14</w:t>
            </w:r>
          </w:p>
        </w:tc>
      </w:tr>
      <w:tr w:rsidR="00BB004F" w:rsidRPr="000B50D7" w:rsidTr="00CA0AA3">
        <w:trPr>
          <w:cnfStyle w:val="000000010000" w:firstRow="0" w:lastRow="0" w:firstColumn="0" w:lastColumn="0" w:oddVBand="0" w:evenVBand="0" w:oddHBand="0" w:evenHBand="1" w:firstRowFirstColumn="0" w:firstRowLastColumn="0" w:lastRowFirstColumn="0" w:lastRowLastColumn="0"/>
        </w:trPr>
        <w:tc>
          <w:tcPr>
            <w:tcW w:w="2127" w:type="dxa"/>
            <w:vMerge/>
            <w:shd w:val="clear" w:color="auto" w:fill="404040" w:themeFill="text1" w:themeFillTint="BF"/>
            <w:hideMark/>
          </w:tcPr>
          <w:p w:rsidR="009E0275" w:rsidRPr="001D0AF1" w:rsidRDefault="009E0275">
            <w:pPr>
              <w:rPr>
                <w:b/>
                <w:color w:val="FFFFFF" w:themeColor="background1"/>
                <w:sz w:val="20"/>
                <w:szCs w:val="20"/>
              </w:rPr>
            </w:pPr>
          </w:p>
        </w:tc>
        <w:tc>
          <w:tcPr>
            <w:tcW w:w="850" w:type="dxa"/>
            <w:tcBorders>
              <w:right w:val="single" w:sz="4" w:space="0" w:color="auto"/>
            </w:tcBorders>
            <w:hideMark/>
          </w:tcPr>
          <w:p w:rsidR="009E0275" w:rsidRPr="000B50D7" w:rsidRDefault="009E0275" w:rsidP="000B50D7">
            <w:pPr>
              <w:pStyle w:val="NormalWeb"/>
              <w:jc w:val="center"/>
              <w:rPr>
                <w:b/>
                <w:sz w:val="20"/>
                <w:szCs w:val="20"/>
              </w:rPr>
            </w:pPr>
            <w:r w:rsidRPr="000B50D7">
              <w:rPr>
                <w:b/>
                <w:sz w:val="20"/>
                <w:szCs w:val="20"/>
              </w:rPr>
              <w:t>2018</w:t>
            </w:r>
          </w:p>
        </w:tc>
        <w:tc>
          <w:tcPr>
            <w:tcW w:w="992"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7</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15</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993"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2</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7</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2</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5</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708"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13</w:t>
            </w:r>
          </w:p>
        </w:tc>
        <w:tc>
          <w:tcPr>
            <w:tcW w:w="808" w:type="dxa"/>
            <w:hideMark/>
          </w:tcPr>
          <w:p w:rsidR="009E0275" w:rsidRPr="000B50D7" w:rsidRDefault="009E0275" w:rsidP="000B50D7">
            <w:pPr>
              <w:pStyle w:val="NormalWeb"/>
              <w:jc w:val="center"/>
              <w:rPr>
                <w:sz w:val="20"/>
                <w:szCs w:val="20"/>
              </w:rPr>
            </w:pPr>
            <w:r w:rsidRPr="000B50D7">
              <w:rPr>
                <w:sz w:val="20"/>
                <w:szCs w:val="20"/>
              </w:rPr>
              <w:t>29</w:t>
            </w:r>
          </w:p>
        </w:tc>
      </w:tr>
      <w:tr w:rsidR="007854C6" w:rsidRPr="000B50D7" w:rsidTr="00CA0AA3">
        <w:tc>
          <w:tcPr>
            <w:tcW w:w="2127" w:type="dxa"/>
            <w:vMerge w:val="restart"/>
            <w:shd w:val="clear" w:color="auto" w:fill="404040" w:themeFill="text1" w:themeFillTint="BF"/>
            <w:hideMark/>
          </w:tcPr>
          <w:p w:rsidR="009E0275" w:rsidRPr="001D0AF1" w:rsidRDefault="009E0275">
            <w:pPr>
              <w:pStyle w:val="NormalWeb"/>
              <w:rPr>
                <w:b/>
                <w:color w:val="FFFFFF" w:themeColor="background1"/>
                <w:sz w:val="20"/>
                <w:szCs w:val="20"/>
              </w:rPr>
            </w:pPr>
            <w:r w:rsidRPr="001D0AF1">
              <w:rPr>
                <w:b/>
                <w:color w:val="FFFFFF" w:themeColor="background1"/>
                <w:sz w:val="20"/>
                <w:szCs w:val="20"/>
                <w:lang w:val="en-US"/>
              </w:rPr>
              <w:t>Northern Territory</w:t>
            </w:r>
          </w:p>
        </w:tc>
        <w:tc>
          <w:tcPr>
            <w:tcW w:w="850" w:type="dxa"/>
            <w:tcBorders>
              <w:right w:val="single" w:sz="4" w:space="0" w:color="auto"/>
            </w:tcBorders>
            <w:hideMark/>
          </w:tcPr>
          <w:p w:rsidR="009E0275" w:rsidRPr="000B50D7" w:rsidRDefault="009E0275" w:rsidP="000B50D7">
            <w:pPr>
              <w:pStyle w:val="NormalWeb"/>
              <w:jc w:val="center"/>
              <w:rPr>
                <w:b/>
                <w:sz w:val="20"/>
                <w:szCs w:val="20"/>
              </w:rPr>
            </w:pPr>
            <w:r w:rsidRPr="000B50D7">
              <w:rPr>
                <w:b/>
                <w:sz w:val="20"/>
                <w:szCs w:val="20"/>
              </w:rPr>
              <w:t>2019</w:t>
            </w:r>
          </w:p>
        </w:tc>
        <w:tc>
          <w:tcPr>
            <w:tcW w:w="992"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993"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4</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5</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708"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4</w:t>
            </w:r>
          </w:p>
        </w:tc>
        <w:tc>
          <w:tcPr>
            <w:tcW w:w="808" w:type="dxa"/>
            <w:hideMark/>
          </w:tcPr>
          <w:p w:rsidR="009E0275" w:rsidRPr="000B50D7" w:rsidRDefault="009E0275" w:rsidP="000B50D7">
            <w:pPr>
              <w:pStyle w:val="NormalWeb"/>
              <w:jc w:val="center"/>
              <w:rPr>
                <w:sz w:val="20"/>
                <w:szCs w:val="20"/>
              </w:rPr>
            </w:pPr>
            <w:r w:rsidRPr="000B50D7">
              <w:rPr>
                <w:sz w:val="20"/>
                <w:szCs w:val="20"/>
              </w:rPr>
              <w:t>5</w:t>
            </w:r>
          </w:p>
        </w:tc>
      </w:tr>
      <w:tr w:rsidR="00BB004F" w:rsidRPr="000B50D7" w:rsidTr="00CA0AA3">
        <w:trPr>
          <w:cnfStyle w:val="000000010000" w:firstRow="0" w:lastRow="0" w:firstColumn="0" w:lastColumn="0" w:oddVBand="0" w:evenVBand="0" w:oddHBand="0" w:evenHBand="1" w:firstRowFirstColumn="0" w:firstRowLastColumn="0" w:lastRowFirstColumn="0" w:lastRowLastColumn="0"/>
        </w:trPr>
        <w:tc>
          <w:tcPr>
            <w:tcW w:w="2127" w:type="dxa"/>
            <w:vMerge/>
            <w:shd w:val="clear" w:color="auto" w:fill="404040" w:themeFill="text1" w:themeFillTint="BF"/>
            <w:hideMark/>
          </w:tcPr>
          <w:p w:rsidR="009E0275" w:rsidRPr="001D0AF1" w:rsidRDefault="009E0275">
            <w:pPr>
              <w:rPr>
                <w:b/>
                <w:color w:val="FFFFFF" w:themeColor="background1"/>
                <w:sz w:val="20"/>
                <w:szCs w:val="20"/>
              </w:rPr>
            </w:pPr>
          </w:p>
        </w:tc>
        <w:tc>
          <w:tcPr>
            <w:tcW w:w="850" w:type="dxa"/>
            <w:tcBorders>
              <w:right w:val="single" w:sz="4" w:space="0" w:color="auto"/>
            </w:tcBorders>
            <w:hideMark/>
          </w:tcPr>
          <w:p w:rsidR="009E0275" w:rsidRPr="000B50D7" w:rsidRDefault="009E0275" w:rsidP="000B50D7">
            <w:pPr>
              <w:pStyle w:val="NormalWeb"/>
              <w:jc w:val="center"/>
              <w:rPr>
                <w:b/>
                <w:sz w:val="20"/>
                <w:szCs w:val="20"/>
              </w:rPr>
            </w:pPr>
            <w:r w:rsidRPr="000B50D7">
              <w:rPr>
                <w:b/>
                <w:sz w:val="20"/>
                <w:szCs w:val="20"/>
              </w:rPr>
              <w:t>2018</w:t>
            </w:r>
          </w:p>
        </w:tc>
        <w:tc>
          <w:tcPr>
            <w:tcW w:w="992"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993"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2</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2</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708"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3</w:t>
            </w:r>
          </w:p>
        </w:tc>
        <w:tc>
          <w:tcPr>
            <w:tcW w:w="808" w:type="dxa"/>
            <w:hideMark/>
          </w:tcPr>
          <w:p w:rsidR="009E0275" w:rsidRPr="000B50D7" w:rsidRDefault="009E0275" w:rsidP="000B50D7">
            <w:pPr>
              <w:pStyle w:val="NormalWeb"/>
              <w:jc w:val="center"/>
              <w:rPr>
                <w:sz w:val="20"/>
                <w:szCs w:val="20"/>
              </w:rPr>
            </w:pPr>
            <w:r w:rsidRPr="000B50D7">
              <w:rPr>
                <w:sz w:val="20"/>
                <w:szCs w:val="20"/>
              </w:rPr>
              <w:t>3</w:t>
            </w:r>
          </w:p>
        </w:tc>
      </w:tr>
      <w:tr w:rsidR="007854C6" w:rsidRPr="000B50D7" w:rsidTr="00CA0AA3">
        <w:tc>
          <w:tcPr>
            <w:tcW w:w="2127" w:type="dxa"/>
            <w:vMerge w:val="restart"/>
            <w:shd w:val="clear" w:color="auto" w:fill="404040" w:themeFill="text1" w:themeFillTint="BF"/>
            <w:hideMark/>
          </w:tcPr>
          <w:p w:rsidR="009E0275" w:rsidRPr="001D0AF1" w:rsidRDefault="009E0275">
            <w:pPr>
              <w:pStyle w:val="NormalWeb"/>
              <w:rPr>
                <w:b/>
                <w:color w:val="FFFFFF" w:themeColor="background1"/>
                <w:sz w:val="20"/>
                <w:szCs w:val="20"/>
              </w:rPr>
            </w:pPr>
            <w:r w:rsidRPr="001D0AF1">
              <w:rPr>
                <w:b/>
                <w:color w:val="FFFFFF" w:themeColor="background1"/>
                <w:sz w:val="20"/>
                <w:szCs w:val="20"/>
                <w:lang w:val="en-US"/>
              </w:rPr>
              <w:t>Queensland</w:t>
            </w:r>
          </w:p>
        </w:tc>
        <w:tc>
          <w:tcPr>
            <w:tcW w:w="850" w:type="dxa"/>
            <w:tcBorders>
              <w:right w:val="single" w:sz="4" w:space="0" w:color="auto"/>
            </w:tcBorders>
            <w:hideMark/>
          </w:tcPr>
          <w:p w:rsidR="009E0275" w:rsidRPr="000B50D7" w:rsidRDefault="009E0275" w:rsidP="000B50D7">
            <w:pPr>
              <w:pStyle w:val="NormalWeb"/>
              <w:jc w:val="center"/>
              <w:rPr>
                <w:b/>
                <w:sz w:val="20"/>
                <w:szCs w:val="20"/>
              </w:rPr>
            </w:pPr>
            <w:r w:rsidRPr="000B50D7">
              <w:rPr>
                <w:b/>
                <w:sz w:val="20"/>
                <w:szCs w:val="20"/>
              </w:rPr>
              <w:t>2019</w:t>
            </w:r>
          </w:p>
        </w:tc>
        <w:tc>
          <w:tcPr>
            <w:tcW w:w="992"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3</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10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993"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4</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7</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2</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708"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8</w:t>
            </w:r>
          </w:p>
        </w:tc>
        <w:tc>
          <w:tcPr>
            <w:tcW w:w="808" w:type="dxa"/>
            <w:hideMark/>
          </w:tcPr>
          <w:p w:rsidR="009E0275" w:rsidRPr="000B50D7" w:rsidRDefault="009E0275" w:rsidP="000B50D7">
            <w:pPr>
              <w:pStyle w:val="NormalWeb"/>
              <w:jc w:val="center"/>
              <w:rPr>
                <w:sz w:val="20"/>
                <w:szCs w:val="20"/>
              </w:rPr>
            </w:pPr>
            <w:r w:rsidRPr="000B50D7">
              <w:rPr>
                <w:sz w:val="20"/>
                <w:szCs w:val="20"/>
              </w:rPr>
              <w:t>19</w:t>
            </w:r>
          </w:p>
        </w:tc>
      </w:tr>
      <w:tr w:rsidR="00BB004F" w:rsidRPr="000B50D7" w:rsidTr="00CA0AA3">
        <w:trPr>
          <w:cnfStyle w:val="000000010000" w:firstRow="0" w:lastRow="0" w:firstColumn="0" w:lastColumn="0" w:oddVBand="0" w:evenVBand="0" w:oddHBand="0" w:evenHBand="1" w:firstRowFirstColumn="0" w:firstRowLastColumn="0" w:lastRowFirstColumn="0" w:lastRowLastColumn="0"/>
        </w:trPr>
        <w:tc>
          <w:tcPr>
            <w:tcW w:w="2127" w:type="dxa"/>
            <w:vMerge/>
            <w:shd w:val="clear" w:color="auto" w:fill="404040" w:themeFill="text1" w:themeFillTint="BF"/>
            <w:hideMark/>
          </w:tcPr>
          <w:p w:rsidR="009E0275" w:rsidRPr="001D0AF1" w:rsidRDefault="009E0275">
            <w:pPr>
              <w:rPr>
                <w:b/>
                <w:color w:val="FFFFFF" w:themeColor="background1"/>
                <w:sz w:val="20"/>
                <w:szCs w:val="20"/>
              </w:rPr>
            </w:pPr>
          </w:p>
        </w:tc>
        <w:tc>
          <w:tcPr>
            <w:tcW w:w="850" w:type="dxa"/>
            <w:tcBorders>
              <w:right w:val="single" w:sz="4" w:space="0" w:color="auto"/>
            </w:tcBorders>
            <w:hideMark/>
          </w:tcPr>
          <w:p w:rsidR="009E0275" w:rsidRPr="000B50D7" w:rsidRDefault="009E0275" w:rsidP="000B50D7">
            <w:pPr>
              <w:pStyle w:val="NormalWeb"/>
              <w:jc w:val="center"/>
              <w:rPr>
                <w:b/>
                <w:sz w:val="20"/>
                <w:szCs w:val="20"/>
              </w:rPr>
            </w:pPr>
            <w:r w:rsidRPr="000B50D7">
              <w:rPr>
                <w:b/>
                <w:sz w:val="20"/>
                <w:szCs w:val="20"/>
              </w:rPr>
              <w:t>2018</w:t>
            </w:r>
          </w:p>
        </w:tc>
        <w:tc>
          <w:tcPr>
            <w:tcW w:w="992"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7</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13</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993"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4</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6</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5</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5</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708"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17</w:t>
            </w:r>
          </w:p>
        </w:tc>
        <w:tc>
          <w:tcPr>
            <w:tcW w:w="808" w:type="dxa"/>
            <w:hideMark/>
          </w:tcPr>
          <w:p w:rsidR="009E0275" w:rsidRPr="000B50D7" w:rsidRDefault="009E0275" w:rsidP="000B50D7">
            <w:pPr>
              <w:pStyle w:val="NormalWeb"/>
              <w:jc w:val="center"/>
              <w:rPr>
                <w:sz w:val="20"/>
                <w:szCs w:val="20"/>
              </w:rPr>
            </w:pPr>
            <w:r w:rsidRPr="000B50D7">
              <w:rPr>
                <w:sz w:val="20"/>
                <w:szCs w:val="20"/>
              </w:rPr>
              <w:t>25</w:t>
            </w:r>
          </w:p>
        </w:tc>
      </w:tr>
      <w:tr w:rsidR="007854C6" w:rsidRPr="000B50D7" w:rsidTr="00CA0AA3">
        <w:tc>
          <w:tcPr>
            <w:tcW w:w="2127" w:type="dxa"/>
            <w:vMerge w:val="restart"/>
            <w:shd w:val="clear" w:color="auto" w:fill="404040" w:themeFill="text1" w:themeFillTint="BF"/>
            <w:hideMark/>
          </w:tcPr>
          <w:p w:rsidR="009E0275" w:rsidRPr="001D0AF1" w:rsidRDefault="009E0275">
            <w:pPr>
              <w:pStyle w:val="NormalWeb"/>
              <w:rPr>
                <w:b/>
                <w:color w:val="FFFFFF" w:themeColor="background1"/>
                <w:sz w:val="20"/>
                <w:szCs w:val="20"/>
              </w:rPr>
            </w:pPr>
            <w:r w:rsidRPr="001D0AF1">
              <w:rPr>
                <w:b/>
                <w:color w:val="FFFFFF" w:themeColor="background1"/>
                <w:sz w:val="20"/>
                <w:szCs w:val="20"/>
                <w:lang w:val="en-US"/>
              </w:rPr>
              <w:t>South Australia</w:t>
            </w:r>
          </w:p>
        </w:tc>
        <w:tc>
          <w:tcPr>
            <w:tcW w:w="850" w:type="dxa"/>
            <w:tcBorders>
              <w:right w:val="single" w:sz="4" w:space="0" w:color="auto"/>
            </w:tcBorders>
            <w:hideMark/>
          </w:tcPr>
          <w:p w:rsidR="009E0275" w:rsidRPr="000B50D7" w:rsidRDefault="009E0275" w:rsidP="000B50D7">
            <w:pPr>
              <w:pStyle w:val="NormalWeb"/>
              <w:jc w:val="center"/>
              <w:rPr>
                <w:b/>
                <w:sz w:val="20"/>
                <w:szCs w:val="20"/>
              </w:rPr>
            </w:pPr>
            <w:r w:rsidRPr="000B50D7">
              <w:rPr>
                <w:b/>
                <w:sz w:val="20"/>
                <w:szCs w:val="20"/>
              </w:rPr>
              <w:t>2019</w:t>
            </w:r>
          </w:p>
        </w:tc>
        <w:tc>
          <w:tcPr>
            <w:tcW w:w="992"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7</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8</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993"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2</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2</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708"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9</w:t>
            </w:r>
          </w:p>
        </w:tc>
        <w:tc>
          <w:tcPr>
            <w:tcW w:w="808" w:type="dxa"/>
            <w:hideMark/>
          </w:tcPr>
          <w:p w:rsidR="009E0275" w:rsidRPr="000B50D7" w:rsidRDefault="009E0275" w:rsidP="000B50D7">
            <w:pPr>
              <w:pStyle w:val="NormalWeb"/>
              <w:jc w:val="center"/>
              <w:rPr>
                <w:sz w:val="20"/>
                <w:szCs w:val="20"/>
              </w:rPr>
            </w:pPr>
            <w:r w:rsidRPr="000B50D7">
              <w:rPr>
                <w:sz w:val="20"/>
                <w:szCs w:val="20"/>
              </w:rPr>
              <w:t>11</w:t>
            </w:r>
          </w:p>
        </w:tc>
      </w:tr>
      <w:tr w:rsidR="00BB004F" w:rsidRPr="000B50D7" w:rsidTr="00CA0AA3">
        <w:trPr>
          <w:cnfStyle w:val="000000010000" w:firstRow="0" w:lastRow="0" w:firstColumn="0" w:lastColumn="0" w:oddVBand="0" w:evenVBand="0" w:oddHBand="0" w:evenHBand="1" w:firstRowFirstColumn="0" w:firstRowLastColumn="0" w:lastRowFirstColumn="0" w:lastRowLastColumn="0"/>
        </w:trPr>
        <w:tc>
          <w:tcPr>
            <w:tcW w:w="2127" w:type="dxa"/>
            <w:vMerge/>
            <w:shd w:val="clear" w:color="auto" w:fill="404040" w:themeFill="text1" w:themeFillTint="BF"/>
            <w:hideMark/>
          </w:tcPr>
          <w:p w:rsidR="009E0275" w:rsidRPr="001D0AF1" w:rsidRDefault="009E0275">
            <w:pPr>
              <w:rPr>
                <w:b/>
                <w:color w:val="FFFFFF" w:themeColor="background1"/>
                <w:sz w:val="20"/>
                <w:szCs w:val="20"/>
              </w:rPr>
            </w:pPr>
          </w:p>
        </w:tc>
        <w:tc>
          <w:tcPr>
            <w:tcW w:w="850" w:type="dxa"/>
            <w:tcBorders>
              <w:right w:val="single" w:sz="4" w:space="0" w:color="auto"/>
            </w:tcBorders>
            <w:hideMark/>
          </w:tcPr>
          <w:p w:rsidR="009E0275" w:rsidRPr="000B50D7" w:rsidRDefault="009E0275" w:rsidP="000B50D7">
            <w:pPr>
              <w:pStyle w:val="NormalWeb"/>
              <w:jc w:val="center"/>
              <w:rPr>
                <w:b/>
                <w:sz w:val="20"/>
                <w:szCs w:val="20"/>
              </w:rPr>
            </w:pPr>
            <w:r w:rsidRPr="000B50D7">
              <w:rPr>
                <w:b/>
                <w:sz w:val="20"/>
                <w:szCs w:val="20"/>
              </w:rPr>
              <w:t>2018</w:t>
            </w:r>
          </w:p>
        </w:tc>
        <w:tc>
          <w:tcPr>
            <w:tcW w:w="992"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7</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11</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993"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708"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8</w:t>
            </w:r>
          </w:p>
        </w:tc>
        <w:tc>
          <w:tcPr>
            <w:tcW w:w="808" w:type="dxa"/>
            <w:hideMark/>
          </w:tcPr>
          <w:p w:rsidR="009E0275" w:rsidRPr="000B50D7" w:rsidRDefault="009E0275" w:rsidP="000B50D7">
            <w:pPr>
              <w:pStyle w:val="NormalWeb"/>
              <w:jc w:val="center"/>
              <w:rPr>
                <w:sz w:val="20"/>
                <w:szCs w:val="20"/>
              </w:rPr>
            </w:pPr>
            <w:r w:rsidRPr="000B50D7">
              <w:rPr>
                <w:sz w:val="20"/>
                <w:szCs w:val="20"/>
              </w:rPr>
              <w:t>13</w:t>
            </w:r>
          </w:p>
        </w:tc>
      </w:tr>
      <w:tr w:rsidR="007854C6" w:rsidRPr="000B50D7" w:rsidTr="00CA0AA3">
        <w:tc>
          <w:tcPr>
            <w:tcW w:w="2127" w:type="dxa"/>
            <w:vMerge w:val="restart"/>
            <w:shd w:val="clear" w:color="auto" w:fill="404040" w:themeFill="text1" w:themeFillTint="BF"/>
            <w:hideMark/>
          </w:tcPr>
          <w:p w:rsidR="009E0275" w:rsidRPr="001D0AF1" w:rsidRDefault="009E0275">
            <w:pPr>
              <w:pStyle w:val="NormalWeb"/>
              <w:rPr>
                <w:b/>
                <w:color w:val="FFFFFF" w:themeColor="background1"/>
                <w:sz w:val="20"/>
                <w:szCs w:val="20"/>
              </w:rPr>
            </w:pPr>
            <w:r w:rsidRPr="001D0AF1">
              <w:rPr>
                <w:b/>
                <w:color w:val="FFFFFF" w:themeColor="background1"/>
                <w:sz w:val="20"/>
                <w:szCs w:val="20"/>
                <w:lang w:val="en-US"/>
              </w:rPr>
              <w:t>Tasmania</w:t>
            </w:r>
          </w:p>
        </w:tc>
        <w:tc>
          <w:tcPr>
            <w:tcW w:w="850" w:type="dxa"/>
            <w:tcBorders>
              <w:right w:val="single" w:sz="4" w:space="0" w:color="auto"/>
            </w:tcBorders>
            <w:hideMark/>
          </w:tcPr>
          <w:p w:rsidR="009E0275" w:rsidRPr="000B50D7" w:rsidRDefault="009E0275" w:rsidP="000B50D7">
            <w:pPr>
              <w:pStyle w:val="NormalWeb"/>
              <w:jc w:val="center"/>
              <w:rPr>
                <w:b/>
                <w:sz w:val="20"/>
                <w:szCs w:val="20"/>
              </w:rPr>
            </w:pPr>
            <w:r w:rsidRPr="000B50D7">
              <w:rPr>
                <w:b/>
                <w:sz w:val="20"/>
                <w:szCs w:val="20"/>
              </w:rPr>
              <w:t>2019</w:t>
            </w:r>
          </w:p>
        </w:tc>
        <w:tc>
          <w:tcPr>
            <w:tcW w:w="992"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2</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2</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993"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2</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708"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3</w:t>
            </w:r>
          </w:p>
        </w:tc>
        <w:tc>
          <w:tcPr>
            <w:tcW w:w="808" w:type="dxa"/>
            <w:hideMark/>
          </w:tcPr>
          <w:p w:rsidR="009E0275" w:rsidRPr="000B50D7" w:rsidRDefault="009E0275" w:rsidP="000B50D7">
            <w:pPr>
              <w:pStyle w:val="NormalWeb"/>
              <w:jc w:val="center"/>
              <w:rPr>
                <w:sz w:val="20"/>
                <w:szCs w:val="20"/>
              </w:rPr>
            </w:pPr>
            <w:r w:rsidRPr="000B50D7">
              <w:rPr>
                <w:sz w:val="20"/>
                <w:szCs w:val="20"/>
              </w:rPr>
              <w:t>4</w:t>
            </w:r>
          </w:p>
        </w:tc>
      </w:tr>
      <w:tr w:rsidR="00BB004F" w:rsidRPr="000B50D7" w:rsidTr="00CA0AA3">
        <w:trPr>
          <w:cnfStyle w:val="000000010000" w:firstRow="0" w:lastRow="0" w:firstColumn="0" w:lastColumn="0" w:oddVBand="0" w:evenVBand="0" w:oddHBand="0" w:evenHBand="1" w:firstRowFirstColumn="0" w:firstRowLastColumn="0" w:lastRowFirstColumn="0" w:lastRowLastColumn="0"/>
        </w:trPr>
        <w:tc>
          <w:tcPr>
            <w:tcW w:w="2127" w:type="dxa"/>
            <w:vMerge/>
            <w:shd w:val="clear" w:color="auto" w:fill="404040" w:themeFill="text1" w:themeFillTint="BF"/>
            <w:hideMark/>
          </w:tcPr>
          <w:p w:rsidR="009E0275" w:rsidRPr="001D0AF1" w:rsidRDefault="009E0275">
            <w:pPr>
              <w:rPr>
                <w:b/>
                <w:color w:val="FFFFFF" w:themeColor="background1"/>
                <w:sz w:val="20"/>
                <w:szCs w:val="20"/>
              </w:rPr>
            </w:pPr>
          </w:p>
        </w:tc>
        <w:tc>
          <w:tcPr>
            <w:tcW w:w="850" w:type="dxa"/>
            <w:tcBorders>
              <w:right w:val="single" w:sz="4" w:space="0" w:color="auto"/>
            </w:tcBorders>
            <w:hideMark/>
          </w:tcPr>
          <w:p w:rsidR="009E0275" w:rsidRPr="000B50D7" w:rsidRDefault="009E0275" w:rsidP="000B50D7">
            <w:pPr>
              <w:pStyle w:val="NormalWeb"/>
              <w:jc w:val="center"/>
              <w:rPr>
                <w:b/>
                <w:sz w:val="20"/>
                <w:szCs w:val="20"/>
              </w:rPr>
            </w:pPr>
            <w:r w:rsidRPr="000B50D7">
              <w:rPr>
                <w:b/>
                <w:sz w:val="20"/>
                <w:szCs w:val="20"/>
              </w:rPr>
              <w:t>2018</w:t>
            </w:r>
          </w:p>
        </w:tc>
        <w:tc>
          <w:tcPr>
            <w:tcW w:w="992"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993"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708"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08" w:type="dxa"/>
            <w:hideMark/>
          </w:tcPr>
          <w:p w:rsidR="009E0275" w:rsidRPr="000B50D7" w:rsidRDefault="009E0275" w:rsidP="000B50D7">
            <w:pPr>
              <w:pStyle w:val="NormalWeb"/>
              <w:jc w:val="center"/>
              <w:rPr>
                <w:sz w:val="20"/>
                <w:szCs w:val="20"/>
              </w:rPr>
            </w:pPr>
            <w:r w:rsidRPr="000B50D7">
              <w:rPr>
                <w:sz w:val="20"/>
                <w:szCs w:val="20"/>
              </w:rPr>
              <w:t>0</w:t>
            </w:r>
          </w:p>
        </w:tc>
      </w:tr>
      <w:tr w:rsidR="007854C6" w:rsidRPr="000B50D7" w:rsidTr="00CA0AA3">
        <w:tc>
          <w:tcPr>
            <w:tcW w:w="2127" w:type="dxa"/>
            <w:vMerge w:val="restart"/>
            <w:shd w:val="clear" w:color="auto" w:fill="404040" w:themeFill="text1" w:themeFillTint="BF"/>
            <w:hideMark/>
          </w:tcPr>
          <w:p w:rsidR="009E0275" w:rsidRPr="001D0AF1" w:rsidRDefault="009E0275">
            <w:pPr>
              <w:pStyle w:val="NormalWeb"/>
              <w:rPr>
                <w:b/>
                <w:color w:val="FFFFFF" w:themeColor="background1"/>
                <w:sz w:val="20"/>
                <w:szCs w:val="20"/>
              </w:rPr>
            </w:pPr>
            <w:r w:rsidRPr="001D0AF1">
              <w:rPr>
                <w:b/>
                <w:color w:val="FFFFFF" w:themeColor="background1"/>
                <w:sz w:val="20"/>
                <w:szCs w:val="20"/>
                <w:lang w:val="en-US"/>
              </w:rPr>
              <w:t>Victoria</w:t>
            </w:r>
          </w:p>
        </w:tc>
        <w:tc>
          <w:tcPr>
            <w:tcW w:w="850" w:type="dxa"/>
            <w:tcBorders>
              <w:right w:val="single" w:sz="4" w:space="0" w:color="auto"/>
            </w:tcBorders>
            <w:hideMark/>
          </w:tcPr>
          <w:p w:rsidR="009E0275" w:rsidRPr="000B50D7" w:rsidRDefault="009E0275" w:rsidP="000B50D7">
            <w:pPr>
              <w:pStyle w:val="NormalWeb"/>
              <w:jc w:val="center"/>
              <w:rPr>
                <w:b/>
                <w:sz w:val="20"/>
                <w:szCs w:val="20"/>
              </w:rPr>
            </w:pPr>
            <w:r w:rsidRPr="000B50D7">
              <w:rPr>
                <w:b/>
                <w:sz w:val="20"/>
                <w:szCs w:val="20"/>
              </w:rPr>
              <w:t>2019</w:t>
            </w:r>
          </w:p>
        </w:tc>
        <w:tc>
          <w:tcPr>
            <w:tcW w:w="992"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6</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8</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993"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2</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5</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7</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708"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12</w:t>
            </w:r>
          </w:p>
        </w:tc>
        <w:tc>
          <w:tcPr>
            <w:tcW w:w="808" w:type="dxa"/>
            <w:hideMark/>
          </w:tcPr>
          <w:p w:rsidR="009E0275" w:rsidRPr="000B50D7" w:rsidRDefault="009E0275" w:rsidP="000B50D7">
            <w:pPr>
              <w:pStyle w:val="NormalWeb"/>
              <w:jc w:val="center"/>
              <w:rPr>
                <w:sz w:val="20"/>
                <w:szCs w:val="20"/>
              </w:rPr>
            </w:pPr>
            <w:r w:rsidRPr="000B50D7">
              <w:rPr>
                <w:sz w:val="20"/>
                <w:szCs w:val="20"/>
              </w:rPr>
              <w:t>17</w:t>
            </w:r>
          </w:p>
        </w:tc>
      </w:tr>
      <w:tr w:rsidR="00BB004F" w:rsidRPr="000B50D7" w:rsidTr="00CA0AA3">
        <w:trPr>
          <w:cnfStyle w:val="000000010000" w:firstRow="0" w:lastRow="0" w:firstColumn="0" w:lastColumn="0" w:oddVBand="0" w:evenVBand="0" w:oddHBand="0" w:evenHBand="1" w:firstRowFirstColumn="0" w:firstRowLastColumn="0" w:lastRowFirstColumn="0" w:lastRowLastColumn="0"/>
        </w:trPr>
        <w:tc>
          <w:tcPr>
            <w:tcW w:w="2127" w:type="dxa"/>
            <w:vMerge/>
            <w:shd w:val="clear" w:color="auto" w:fill="404040" w:themeFill="text1" w:themeFillTint="BF"/>
            <w:hideMark/>
          </w:tcPr>
          <w:p w:rsidR="009E0275" w:rsidRPr="001D0AF1" w:rsidRDefault="009E0275">
            <w:pPr>
              <w:rPr>
                <w:b/>
                <w:color w:val="FFFFFF" w:themeColor="background1"/>
                <w:sz w:val="20"/>
                <w:szCs w:val="20"/>
              </w:rPr>
            </w:pPr>
          </w:p>
        </w:tc>
        <w:tc>
          <w:tcPr>
            <w:tcW w:w="850" w:type="dxa"/>
            <w:tcBorders>
              <w:right w:val="single" w:sz="4" w:space="0" w:color="auto"/>
            </w:tcBorders>
            <w:hideMark/>
          </w:tcPr>
          <w:p w:rsidR="009E0275" w:rsidRPr="000B50D7" w:rsidRDefault="009E0275" w:rsidP="000B50D7">
            <w:pPr>
              <w:pStyle w:val="NormalWeb"/>
              <w:jc w:val="center"/>
              <w:rPr>
                <w:b/>
                <w:sz w:val="20"/>
                <w:szCs w:val="20"/>
              </w:rPr>
            </w:pPr>
            <w:r w:rsidRPr="000B50D7">
              <w:rPr>
                <w:b/>
                <w:sz w:val="20"/>
                <w:szCs w:val="20"/>
              </w:rPr>
              <w:t>2018</w:t>
            </w:r>
          </w:p>
        </w:tc>
        <w:tc>
          <w:tcPr>
            <w:tcW w:w="992"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3</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6</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993"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3</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7</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4</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6</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2</w:t>
            </w:r>
          </w:p>
        </w:tc>
        <w:tc>
          <w:tcPr>
            <w:tcW w:w="708"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12</w:t>
            </w:r>
          </w:p>
        </w:tc>
        <w:tc>
          <w:tcPr>
            <w:tcW w:w="808" w:type="dxa"/>
            <w:hideMark/>
          </w:tcPr>
          <w:p w:rsidR="009E0275" w:rsidRPr="000B50D7" w:rsidRDefault="009E0275" w:rsidP="000B50D7">
            <w:pPr>
              <w:pStyle w:val="NormalWeb"/>
              <w:jc w:val="center"/>
              <w:rPr>
                <w:sz w:val="20"/>
                <w:szCs w:val="20"/>
              </w:rPr>
            </w:pPr>
            <w:r w:rsidRPr="000B50D7">
              <w:rPr>
                <w:sz w:val="20"/>
                <w:szCs w:val="20"/>
              </w:rPr>
              <w:t>22</w:t>
            </w:r>
          </w:p>
        </w:tc>
      </w:tr>
      <w:tr w:rsidR="007854C6" w:rsidRPr="000B50D7" w:rsidTr="00CA0AA3">
        <w:tc>
          <w:tcPr>
            <w:tcW w:w="2127" w:type="dxa"/>
            <w:vMerge w:val="restart"/>
            <w:shd w:val="clear" w:color="auto" w:fill="404040" w:themeFill="text1" w:themeFillTint="BF"/>
            <w:hideMark/>
          </w:tcPr>
          <w:p w:rsidR="009E0275" w:rsidRPr="001D0AF1" w:rsidRDefault="009E0275">
            <w:pPr>
              <w:pStyle w:val="NormalWeb"/>
              <w:rPr>
                <w:b/>
                <w:color w:val="FFFFFF" w:themeColor="background1"/>
                <w:sz w:val="20"/>
                <w:szCs w:val="20"/>
              </w:rPr>
            </w:pPr>
            <w:r w:rsidRPr="001D0AF1">
              <w:rPr>
                <w:b/>
                <w:color w:val="FFFFFF" w:themeColor="background1"/>
                <w:sz w:val="20"/>
                <w:szCs w:val="20"/>
                <w:lang w:val="en-US"/>
              </w:rPr>
              <w:t>Western Australia</w:t>
            </w:r>
          </w:p>
        </w:tc>
        <w:tc>
          <w:tcPr>
            <w:tcW w:w="850" w:type="dxa"/>
            <w:tcBorders>
              <w:right w:val="single" w:sz="4" w:space="0" w:color="auto"/>
            </w:tcBorders>
            <w:hideMark/>
          </w:tcPr>
          <w:p w:rsidR="009E0275" w:rsidRPr="000B50D7" w:rsidRDefault="009E0275" w:rsidP="000B50D7">
            <w:pPr>
              <w:pStyle w:val="NormalWeb"/>
              <w:jc w:val="center"/>
              <w:rPr>
                <w:b/>
                <w:sz w:val="20"/>
                <w:szCs w:val="20"/>
              </w:rPr>
            </w:pPr>
            <w:r w:rsidRPr="000B50D7">
              <w:rPr>
                <w:b/>
                <w:sz w:val="20"/>
                <w:szCs w:val="20"/>
              </w:rPr>
              <w:t>2019</w:t>
            </w:r>
          </w:p>
        </w:tc>
        <w:tc>
          <w:tcPr>
            <w:tcW w:w="992"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2</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3</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2</w:t>
            </w:r>
          </w:p>
        </w:tc>
        <w:tc>
          <w:tcPr>
            <w:tcW w:w="993"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5</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3</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708"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4</w:t>
            </w:r>
          </w:p>
        </w:tc>
        <w:tc>
          <w:tcPr>
            <w:tcW w:w="808" w:type="dxa"/>
            <w:hideMark/>
          </w:tcPr>
          <w:p w:rsidR="009E0275" w:rsidRPr="000B50D7" w:rsidRDefault="009E0275" w:rsidP="000B50D7">
            <w:pPr>
              <w:pStyle w:val="NormalWeb"/>
              <w:jc w:val="center"/>
              <w:rPr>
                <w:sz w:val="20"/>
                <w:szCs w:val="20"/>
              </w:rPr>
            </w:pPr>
            <w:r w:rsidRPr="000B50D7">
              <w:rPr>
                <w:sz w:val="20"/>
                <w:szCs w:val="20"/>
              </w:rPr>
              <w:t>11</w:t>
            </w:r>
          </w:p>
        </w:tc>
      </w:tr>
      <w:tr w:rsidR="00BB004F" w:rsidRPr="000B50D7" w:rsidTr="00CA0AA3">
        <w:trPr>
          <w:cnfStyle w:val="000000010000" w:firstRow="0" w:lastRow="0" w:firstColumn="0" w:lastColumn="0" w:oddVBand="0" w:evenVBand="0" w:oddHBand="0" w:evenHBand="1" w:firstRowFirstColumn="0" w:firstRowLastColumn="0" w:lastRowFirstColumn="0" w:lastRowLastColumn="0"/>
        </w:trPr>
        <w:tc>
          <w:tcPr>
            <w:tcW w:w="2127" w:type="dxa"/>
            <w:vMerge/>
            <w:shd w:val="clear" w:color="auto" w:fill="404040" w:themeFill="text1" w:themeFillTint="BF"/>
            <w:hideMark/>
          </w:tcPr>
          <w:p w:rsidR="009E0275" w:rsidRPr="001D0AF1" w:rsidRDefault="009E0275">
            <w:pPr>
              <w:rPr>
                <w:b/>
                <w:color w:val="FFFFFF" w:themeColor="background1"/>
                <w:sz w:val="20"/>
                <w:szCs w:val="20"/>
              </w:rPr>
            </w:pPr>
          </w:p>
        </w:tc>
        <w:tc>
          <w:tcPr>
            <w:tcW w:w="850" w:type="dxa"/>
            <w:tcBorders>
              <w:right w:val="single" w:sz="4" w:space="0" w:color="auto"/>
            </w:tcBorders>
            <w:hideMark/>
          </w:tcPr>
          <w:p w:rsidR="009E0275" w:rsidRPr="000B50D7" w:rsidRDefault="009E0275" w:rsidP="000B50D7">
            <w:pPr>
              <w:pStyle w:val="NormalWeb"/>
              <w:jc w:val="center"/>
              <w:rPr>
                <w:b/>
                <w:sz w:val="20"/>
                <w:szCs w:val="20"/>
              </w:rPr>
            </w:pPr>
            <w:r w:rsidRPr="000B50D7">
              <w:rPr>
                <w:b/>
                <w:sz w:val="20"/>
                <w:szCs w:val="20"/>
              </w:rPr>
              <w:t>2018</w:t>
            </w:r>
          </w:p>
        </w:tc>
        <w:tc>
          <w:tcPr>
            <w:tcW w:w="992"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3</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993"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1</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2</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5</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708"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3</w:t>
            </w:r>
          </w:p>
        </w:tc>
        <w:tc>
          <w:tcPr>
            <w:tcW w:w="808" w:type="dxa"/>
            <w:hideMark/>
          </w:tcPr>
          <w:p w:rsidR="009E0275" w:rsidRPr="000B50D7" w:rsidRDefault="009E0275" w:rsidP="000B50D7">
            <w:pPr>
              <w:pStyle w:val="NormalWeb"/>
              <w:jc w:val="center"/>
              <w:rPr>
                <w:sz w:val="20"/>
                <w:szCs w:val="20"/>
              </w:rPr>
            </w:pPr>
            <w:r w:rsidRPr="000B50D7">
              <w:rPr>
                <w:sz w:val="20"/>
                <w:szCs w:val="20"/>
              </w:rPr>
              <w:t>9</w:t>
            </w:r>
          </w:p>
        </w:tc>
      </w:tr>
      <w:tr w:rsidR="00BB004F" w:rsidRPr="00651CB0" w:rsidTr="00CA0AA3">
        <w:tc>
          <w:tcPr>
            <w:tcW w:w="2127" w:type="dxa"/>
            <w:vMerge w:val="restart"/>
            <w:shd w:val="clear" w:color="auto" w:fill="404040" w:themeFill="text1" w:themeFillTint="BF"/>
            <w:hideMark/>
          </w:tcPr>
          <w:p w:rsidR="009E0275" w:rsidRPr="00651CB0" w:rsidRDefault="009E0275">
            <w:pPr>
              <w:pStyle w:val="NormalWeb"/>
              <w:rPr>
                <w:b/>
                <w:color w:val="FFFFFF" w:themeColor="background1"/>
                <w:sz w:val="20"/>
                <w:szCs w:val="20"/>
              </w:rPr>
            </w:pPr>
            <w:r w:rsidRPr="00651CB0">
              <w:rPr>
                <w:b/>
                <w:color w:val="FFFFFF" w:themeColor="background1"/>
                <w:sz w:val="20"/>
                <w:szCs w:val="20"/>
              </w:rPr>
              <w:t>Australia</w:t>
            </w:r>
          </w:p>
        </w:tc>
        <w:tc>
          <w:tcPr>
            <w:tcW w:w="850" w:type="dxa"/>
            <w:tcBorders>
              <w:right w:val="single" w:sz="4" w:space="0" w:color="auto"/>
            </w:tcBorders>
            <w:shd w:val="clear" w:color="auto" w:fill="FDE9D9" w:themeFill="accent6" w:themeFillTint="33"/>
            <w:hideMark/>
          </w:tcPr>
          <w:p w:rsidR="009E0275" w:rsidRPr="00651CB0" w:rsidRDefault="009E0275" w:rsidP="000B50D7">
            <w:pPr>
              <w:pStyle w:val="NormalWeb"/>
              <w:jc w:val="center"/>
              <w:rPr>
                <w:b/>
                <w:sz w:val="20"/>
                <w:szCs w:val="20"/>
              </w:rPr>
            </w:pPr>
            <w:r w:rsidRPr="00651CB0">
              <w:rPr>
                <w:b/>
                <w:sz w:val="20"/>
                <w:szCs w:val="20"/>
              </w:rPr>
              <w:t>2019</w:t>
            </w:r>
          </w:p>
        </w:tc>
        <w:tc>
          <w:tcPr>
            <w:tcW w:w="992" w:type="dxa"/>
            <w:tcBorders>
              <w:left w:val="single" w:sz="4" w:space="0" w:color="auto"/>
            </w:tcBorders>
            <w:shd w:val="clear" w:color="auto" w:fill="FDE9D9" w:themeFill="accent6" w:themeFillTint="33"/>
            <w:hideMark/>
          </w:tcPr>
          <w:p w:rsidR="009E0275" w:rsidRPr="00651CB0" w:rsidRDefault="009E0275" w:rsidP="000B50D7">
            <w:pPr>
              <w:pStyle w:val="NormalWeb"/>
              <w:jc w:val="center"/>
              <w:rPr>
                <w:b/>
                <w:sz w:val="20"/>
                <w:szCs w:val="20"/>
              </w:rPr>
            </w:pPr>
            <w:r w:rsidRPr="00651CB0">
              <w:rPr>
                <w:b/>
                <w:sz w:val="20"/>
                <w:szCs w:val="20"/>
              </w:rPr>
              <w:t>0</w:t>
            </w:r>
          </w:p>
        </w:tc>
        <w:tc>
          <w:tcPr>
            <w:tcW w:w="851" w:type="dxa"/>
            <w:tcBorders>
              <w:right w:val="single" w:sz="4" w:space="0" w:color="auto"/>
            </w:tcBorders>
            <w:shd w:val="clear" w:color="auto" w:fill="FDE9D9" w:themeFill="accent6" w:themeFillTint="33"/>
            <w:hideMark/>
          </w:tcPr>
          <w:p w:rsidR="009E0275" w:rsidRPr="00651CB0" w:rsidRDefault="009E0275" w:rsidP="000B50D7">
            <w:pPr>
              <w:pStyle w:val="NormalWeb"/>
              <w:jc w:val="center"/>
              <w:rPr>
                <w:b/>
                <w:sz w:val="20"/>
                <w:szCs w:val="20"/>
              </w:rPr>
            </w:pPr>
            <w:r w:rsidRPr="00651CB0">
              <w:rPr>
                <w:b/>
                <w:sz w:val="20"/>
                <w:szCs w:val="20"/>
              </w:rPr>
              <w:t>0</w:t>
            </w:r>
          </w:p>
        </w:tc>
        <w:tc>
          <w:tcPr>
            <w:tcW w:w="850" w:type="dxa"/>
            <w:tcBorders>
              <w:left w:val="single" w:sz="4" w:space="0" w:color="auto"/>
            </w:tcBorders>
            <w:shd w:val="clear" w:color="auto" w:fill="FDE9D9" w:themeFill="accent6" w:themeFillTint="33"/>
            <w:hideMark/>
          </w:tcPr>
          <w:p w:rsidR="009E0275" w:rsidRPr="00651CB0" w:rsidRDefault="009E0275" w:rsidP="000B50D7">
            <w:pPr>
              <w:pStyle w:val="NormalWeb"/>
              <w:jc w:val="center"/>
              <w:rPr>
                <w:b/>
                <w:sz w:val="20"/>
                <w:szCs w:val="20"/>
              </w:rPr>
            </w:pPr>
            <w:r w:rsidRPr="00651CB0">
              <w:rPr>
                <w:b/>
                <w:sz w:val="20"/>
                <w:szCs w:val="20"/>
              </w:rPr>
              <w:t>24</w:t>
            </w:r>
          </w:p>
        </w:tc>
        <w:tc>
          <w:tcPr>
            <w:tcW w:w="851" w:type="dxa"/>
            <w:tcBorders>
              <w:right w:val="single" w:sz="4" w:space="0" w:color="auto"/>
            </w:tcBorders>
            <w:shd w:val="clear" w:color="auto" w:fill="FDE9D9" w:themeFill="accent6" w:themeFillTint="33"/>
            <w:hideMark/>
          </w:tcPr>
          <w:p w:rsidR="009E0275" w:rsidRPr="00651CB0" w:rsidRDefault="009E0275" w:rsidP="000B50D7">
            <w:pPr>
              <w:pStyle w:val="NormalWeb"/>
              <w:jc w:val="center"/>
              <w:rPr>
                <w:b/>
                <w:sz w:val="20"/>
                <w:szCs w:val="20"/>
              </w:rPr>
            </w:pPr>
            <w:r w:rsidRPr="00651CB0">
              <w:rPr>
                <w:b/>
                <w:sz w:val="20"/>
                <w:szCs w:val="20"/>
              </w:rPr>
              <w:t>42</w:t>
            </w:r>
          </w:p>
        </w:tc>
        <w:tc>
          <w:tcPr>
            <w:tcW w:w="850" w:type="dxa"/>
            <w:tcBorders>
              <w:left w:val="single" w:sz="4" w:space="0" w:color="auto"/>
            </w:tcBorders>
            <w:shd w:val="clear" w:color="auto" w:fill="FDE9D9" w:themeFill="accent6" w:themeFillTint="33"/>
            <w:hideMark/>
          </w:tcPr>
          <w:p w:rsidR="009E0275" w:rsidRPr="00651CB0" w:rsidRDefault="009E0275" w:rsidP="000B50D7">
            <w:pPr>
              <w:pStyle w:val="NormalWeb"/>
              <w:jc w:val="center"/>
              <w:rPr>
                <w:b/>
                <w:sz w:val="20"/>
                <w:szCs w:val="20"/>
              </w:rPr>
            </w:pPr>
            <w:r w:rsidRPr="00651CB0">
              <w:rPr>
                <w:b/>
                <w:sz w:val="20"/>
                <w:szCs w:val="20"/>
              </w:rPr>
              <w:t>2</w:t>
            </w:r>
          </w:p>
        </w:tc>
        <w:tc>
          <w:tcPr>
            <w:tcW w:w="993" w:type="dxa"/>
            <w:tcBorders>
              <w:right w:val="single" w:sz="4" w:space="0" w:color="auto"/>
            </w:tcBorders>
            <w:shd w:val="clear" w:color="auto" w:fill="FDE9D9" w:themeFill="accent6" w:themeFillTint="33"/>
            <w:hideMark/>
          </w:tcPr>
          <w:p w:rsidR="009E0275" w:rsidRPr="00651CB0" w:rsidRDefault="009E0275" w:rsidP="000B50D7">
            <w:pPr>
              <w:pStyle w:val="NormalWeb"/>
              <w:jc w:val="center"/>
              <w:rPr>
                <w:b/>
                <w:sz w:val="20"/>
                <w:szCs w:val="20"/>
              </w:rPr>
            </w:pPr>
            <w:r w:rsidRPr="00651CB0">
              <w:rPr>
                <w:b/>
                <w:sz w:val="20"/>
                <w:szCs w:val="20"/>
              </w:rPr>
              <w:t>5</w:t>
            </w:r>
          </w:p>
        </w:tc>
        <w:tc>
          <w:tcPr>
            <w:tcW w:w="850" w:type="dxa"/>
            <w:tcBorders>
              <w:left w:val="single" w:sz="4" w:space="0" w:color="auto"/>
            </w:tcBorders>
            <w:shd w:val="clear" w:color="auto" w:fill="FDE9D9" w:themeFill="accent6" w:themeFillTint="33"/>
            <w:hideMark/>
          </w:tcPr>
          <w:p w:rsidR="009E0275" w:rsidRPr="00651CB0" w:rsidRDefault="009E0275" w:rsidP="000B50D7">
            <w:pPr>
              <w:pStyle w:val="NormalWeb"/>
              <w:jc w:val="center"/>
              <w:rPr>
                <w:b/>
                <w:sz w:val="20"/>
                <w:szCs w:val="20"/>
              </w:rPr>
            </w:pPr>
            <w:r w:rsidRPr="00651CB0">
              <w:rPr>
                <w:b/>
                <w:sz w:val="20"/>
                <w:szCs w:val="20"/>
              </w:rPr>
              <w:t>8</w:t>
            </w:r>
          </w:p>
        </w:tc>
        <w:tc>
          <w:tcPr>
            <w:tcW w:w="851" w:type="dxa"/>
            <w:tcBorders>
              <w:right w:val="single" w:sz="4" w:space="0" w:color="auto"/>
            </w:tcBorders>
            <w:shd w:val="clear" w:color="auto" w:fill="FDE9D9" w:themeFill="accent6" w:themeFillTint="33"/>
            <w:hideMark/>
          </w:tcPr>
          <w:p w:rsidR="009E0275" w:rsidRPr="00651CB0" w:rsidRDefault="009E0275" w:rsidP="000B50D7">
            <w:pPr>
              <w:pStyle w:val="NormalWeb"/>
              <w:jc w:val="center"/>
              <w:rPr>
                <w:b/>
                <w:sz w:val="20"/>
                <w:szCs w:val="20"/>
              </w:rPr>
            </w:pPr>
            <w:r w:rsidRPr="00651CB0">
              <w:rPr>
                <w:b/>
                <w:sz w:val="20"/>
                <w:szCs w:val="20"/>
              </w:rPr>
              <w:t>12</w:t>
            </w:r>
          </w:p>
        </w:tc>
        <w:tc>
          <w:tcPr>
            <w:tcW w:w="850" w:type="dxa"/>
            <w:tcBorders>
              <w:left w:val="single" w:sz="4" w:space="0" w:color="auto"/>
            </w:tcBorders>
            <w:shd w:val="clear" w:color="auto" w:fill="FDE9D9" w:themeFill="accent6" w:themeFillTint="33"/>
            <w:hideMark/>
          </w:tcPr>
          <w:p w:rsidR="009E0275" w:rsidRPr="00651CB0" w:rsidRDefault="009E0275" w:rsidP="000B50D7">
            <w:pPr>
              <w:pStyle w:val="NormalWeb"/>
              <w:jc w:val="center"/>
              <w:rPr>
                <w:b/>
                <w:sz w:val="20"/>
                <w:szCs w:val="20"/>
              </w:rPr>
            </w:pPr>
            <w:r w:rsidRPr="00651CB0">
              <w:rPr>
                <w:b/>
                <w:sz w:val="20"/>
                <w:szCs w:val="20"/>
              </w:rPr>
              <w:t>12</w:t>
            </w:r>
          </w:p>
        </w:tc>
        <w:tc>
          <w:tcPr>
            <w:tcW w:w="851" w:type="dxa"/>
            <w:tcBorders>
              <w:right w:val="single" w:sz="4" w:space="0" w:color="auto"/>
            </w:tcBorders>
            <w:shd w:val="clear" w:color="auto" w:fill="FDE9D9" w:themeFill="accent6" w:themeFillTint="33"/>
            <w:hideMark/>
          </w:tcPr>
          <w:p w:rsidR="009E0275" w:rsidRPr="00651CB0" w:rsidRDefault="009E0275" w:rsidP="000B50D7">
            <w:pPr>
              <w:pStyle w:val="NormalWeb"/>
              <w:jc w:val="center"/>
              <w:rPr>
                <w:b/>
                <w:sz w:val="20"/>
                <w:szCs w:val="20"/>
              </w:rPr>
            </w:pPr>
            <w:r w:rsidRPr="00651CB0">
              <w:rPr>
                <w:b/>
                <w:sz w:val="20"/>
                <w:szCs w:val="20"/>
              </w:rPr>
              <w:t>23</w:t>
            </w:r>
          </w:p>
        </w:tc>
        <w:tc>
          <w:tcPr>
            <w:tcW w:w="850" w:type="dxa"/>
            <w:tcBorders>
              <w:left w:val="single" w:sz="4" w:space="0" w:color="auto"/>
            </w:tcBorders>
            <w:shd w:val="clear" w:color="auto" w:fill="FDE9D9" w:themeFill="accent6" w:themeFillTint="33"/>
            <w:hideMark/>
          </w:tcPr>
          <w:p w:rsidR="009E0275" w:rsidRPr="00651CB0" w:rsidRDefault="009E0275" w:rsidP="000B50D7">
            <w:pPr>
              <w:pStyle w:val="NormalWeb"/>
              <w:jc w:val="center"/>
              <w:rPr>
                <w:b/>
                <w:sz w:val="20"/>
                <w:szCs w:val="20"/>
              </w:rPr>
            </w:pPr>
            <w:r w:rsidRPr="00651CB0">
              <w:rPr>
                <w:b/>
                <w:sz w:val="20"/>
                <w:szCs w:val="20"/>
              </w:rPr>
              <w:t>0</w:t>
            </w:r>
          </w:p>
        </w:tc>
        <w:tc>
          <w:tcPr>
            <w:tcW w:w="851" w:type="dxa"/>
            <w:tcBorders>
              <w:right w:val="single" w:sz="4" w:space="0" w:color="auto"/>
            </w:tcBorders>
            <w:shd w:val="clear" w:color="auto" w:fill="FDE9D9" w:themeFill="accent6" w:themeFillTint="33"/>
            <w:hideMark/>
          </w:tcPr>
          <w:p w:rsidR="009E0275" w:rsidRPr="00651CB0" w:rsidRDefault="009E0275" w:rsidP="000B50D7">
            <w:pPr>
              <w:pStyle w:val="NormalWeb"/>
              <w:jc w:val="center"/>
              <w:rPr>
                <w:b/>
                <w:sz w:val="20"/>
                <w:szCs w:val="20"/>
              </w:rPr>
            </w:pPr>
            <w:r w:rsidRPr="00651CB0">
              <w:rPr>
                <w:b/>
                <w:sz w:val="20"/>
                <w:szCs w:val="20"/>
              </w:rPr>
              <w:t>0</w:t>
            </w:r>
          </w:p>
        </w:tc>
        <w:tc>
          <w:tcPr>
            <w:tcW w:w="708" w:type="dxa"/>
            <w:tcBorders>
              <w:left w:val="single" w:sz="4" w:space="0" w:color="auto"/>
            </w:tcBorders>
            <w:shd w:val="clear" w:color="auto" w:fill="FDE9D9" w:themeFill="accent6" w:themeFillTint="33"/>
            <w:hideMark/>
          </w:tcPr>
          <w:p w:rsidR="009E0275" w:rsidRPr="00651CB0" w:rsidRDefault="009E0275" w:rsidP="000B50D7">
            <w:pPr>
              <w:pStyle w:val="NormalWeb"/>
              <w:jc w:val="center"/>
              <w:rPr>
                <w:b/>
                <w:sz w:val="20"/>
                <w:szCs w:val="20"/>
              </w:rPr>
            </w:pPr>
            <w:r w:rsidRPr="00651CB0">
              <w:rPr>
                <w:b/>
                <w:sz w:val="20"/>
                <w:szCs w:val="20"/>
              </w:rPr>
              <w:t>46</w:t>
            </w:r>
          </w:p>
        </w:tc>
        <w:tc>
          <w:tcPr>
            <w:tcW w:w="808" w:type="dxa"/>
            <w:shd w:val="clear" w:color="auto" w:fill="FDE9D9" w:themeFill="accent6" w:themeFillTint="33"/>
            <w:hideMark/>
          </w:tcPr>
          <w:p w:rsidR="009E0275" w:rsidRPr="00651CB0" w:rsidRDefault="009E0275" w:rsidP="000B50D7">
            <w:pPr>
              <w:pStyle w:val="NormalWeb"/>
              <w:jc w:val="center"/>
              <w:rPr>
                <w:b/>
                <w:sz w:val="20"/>
                <w:szCs w:val="20"/>
              </w:rPr>
            </w:pPr>
            <w:r w:rsidRPr="00651CB0">
              <w:rPr>
                <w:b/>
                <w:sz w:val="20"/>
                <w:szCs w:val="20"/>
              </w:rPr>
              <w:t>82</w:t>
            </w:r>
          </w:p>
        </w:tc>
      </w:tr>
      <w:tr w:rsidR="00BB004F" w:rsidRPr="000B50D7" w:rsidTr="00CA0AA3">
        <w:trPr>
          <w:cnfStyle w:val="000000010000" w:firstRow="0" w:lastRow="0" w:firstColumn="0" w:lastColumn="0" w:oddVBand="0" w:evenVBand="0" w:oddHBand="0" w:evenHBand="1" w:firstRowFirstColumn="0" w:firstRowLastColumn="0" w:lastRowFirstColumn="0" w:lastRowLastColumn="0"/>
        </w:trPr>
        <w:tc>
          <w:tcPr>
            <w:tcW w:w="2127" w:type="dxa"/>
            <w:vMerge/>
            <w:shd w:val="clear" w:color="auto" w:fill="404040" w:themeFill="text1" w:themeFillTint="BF"/>
            <w:hideMark/>
          </w:tcPr>
          <w:p w:rsidR="009E0275" w:rsidRPr="001D0AF1" w:rsidRDefault="009E0275">
            <w:pPr>
              <w:rPr>
                <w:b/>
                <w:color w:val="FFFFFF" w:themeColor="background1"/>
                <w:sz w:val="20"/>
                <w:szCs w:val="20"/>
              </w:rPr>
            </w:pPr>
          </w:p>
        </w:tc>
        <w:tc>
          <w:tcPr>
            <w:tcW w:w="850" w:type="dxa"/>
            <w:tcBorders>
              <w:right w:val="single" w:sz="4" w:space="0" w:color="auto"/>
            </w:tcBorders>
            <w:hideMark/>
          </w:tcPr>
          <w:p w:rsidR="009E0275" w:rsidRPr="000B50D7" w:rsidRDefault="009E0275" w:rsidP="000B50D7">
            <w:pPr>
              <w:pStyle w:val="NormalWeb"/>
              <w:jc w:val="center"/>
              <w:rPr>
                <w:b/>
                <w:sz w:val="20"/>
                <w:szCs w:val="20"/>
              </w:rPr>
            </w:pPr>
            <w:r w:rsidRPr="000B50D7">
              <w:rPr>
                <w:b/>
                <w:sz w:val="20"/>
                <w:szCs w:val="20"/>
              </w:rPr>
              <w:t>2018</w:t>
            </w:r>
          </w:p>
        </w:tc>
        <w:tc>
          <w:tcPr>
            <w:tcW w:w="992"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0</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25</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49</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2</w:t>
            </w:r>
          </w:p>
        </w:tc>
        <w:tc>
          <w:tcPr>
            <w:tcW w:w="993"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2</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10</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22</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16</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25</w:t>
            </w:r>
          </w:p>
        </w:tc>
        <w:tc>
          <w:tcPr>
            <w:tcW w:w="850"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3</w:t>
            </w:r>
          </w:p>
        </w:tc>
        <w:tc>
          <w:tcPr>
            <w:tcW w:w="851" w:type="dxa"/>
            <w:tcBorders>
              <w:right w:val="single" w:sz="4" w:space="0" w:color="auto"/>
            </w:tcBorders>
            <w:hideMark/>
          </w:tcPr>
          <w:p w:rsidR="009E0275" w:rsidRPr="000B50D7" w:rsidRDefault="009E0275" w:rsidP="000B50D7">
            <w:pPr>
              <w:pStyle w:val="NormalWeb"/>
              <w:jc w:val="center"/>
              <w:rPr>
                <w:sz w:val="20"/>
                <w:szCs w:val="20"/>
              </w:rPr>
            </w:pPr>
            <w:r w:rsidRPr="000B50D7">
              <w:rPr>
                <w:sz w:val="20"/>
                <w:szCs w:val="20"/>
              </w:rPr>
              <w:t>4</w:t>
            </w:r>
          </w:p>
        </w:tc>
        <w:tc>
          <w:tcPr>
            <w:tcW w:w="708" w:type="dxa"/>
            <w:tcBorders>
              <w:left w:val="single" w:sz="4" w:space="0" w:color="auto"/>
            </w:tcBorders>
            <w:hideMark/>
          </w:tcPr>
          <w:p w:rsidR="009E0275" w:rsidRPr="000B50D7" w:rsidRDefault="009E0275" w:rsidP="000B50D7">
            <w:pPr>
              <w:pStyle w:val="NormalWeb"/>
              <w:jc w:val="center"/>
              <w:rPr>
                <w:sz w:val="20"/>
                <w:szCs w:val="20"/>
              </w:rPr>
            </w:pPr>
            <w:r w:rsidRPr="000B50D7">
              <w:rPr>
                <w:sz w:val="20"/>
                <w:szCs w:val="20"/>
              </w:rPr>
              <w:t>56</w:t>
            </w:r>
          </w:p>
        </w:tc>
        <w:tc>
          <w:tcPr>
            <w:tcW w:w="808" w:type="dxa"/>
            <w:hideMark/>
          </w:tcPr>
          <w:p w:rsidR="009E0275" w:rsidRPr="000B50D7" w:rsidRDefault="009E0275" w:rsidP="000B50D7">
            <w:pPr>
              <w:pStyle w:val="NormalWeb"/>
              <w:jc w:val="center"/>
              <w:rPr>
                <w:sz w:val="20"/>
                <w:szCs w:val="20"/>
              </w:rPr>
            </w:pPr>
            <w:r w:rsidRPr="000B50D7">
              <w:rPr>
                <w:sz w:val="20"/>
                <w:szCs w:val="20"/>
              </w:rPr>
              <w:t>102</w:t>
            </w:r>
          </w:p>
        </w:tc>
      </w:tr>
    </w:tbl>
    <w:p w:rsidR="00990009" w:rsidRDefault="009E0275" w:rsidP="00990009">
      <w:pPr>
        <w:pStyle w:val="CDIfootnotes"/>
      </w:pPr>
      <w:r>
        <w:t>a</w:t>
      </w:r>
      <w:r>
        <w:tab/>
        <w:t>Data analys</w:t>
      </w:r>
      <w:r w:rsidR="00990009">
        <w:t>ed by specimen collection date.</w:t>
      </w:r>
    </w:p>
    <w:p w:rsidR="009E0275" w:rsidRDefault="009E0275" w:rsidP="00990009">
      <w:pPr>
        <w:pStyle w:val="CDIfootnotes"/>
      </w:pPr>
      <w:bookmarkStart w:id="0" w:name="_GoBack"/>
      <w:bookmarkEnd w:id="0"/>
      <w:r>
        <w:t>b</w:t>
      </w:r>
      <w:r>
        <w:tab/>
        <w:t>ND = not determined.</w:t>
      </w:r>
    </w:p>
    <w:p w:rsidR="008B5348" w:rsidRDefault="008B5348">
      <w:pPr>
        <w:rPr>
          <w:rStyle w:val="A10"/>
        </w:rPr>
        <w:sectPr w:rsidR="008B5348" w:rsidSect="00EE6738">
          <w:pgSz w:w="16838" w:h="11906" w:orient="landscape"/>
          <w:pgMar w:top="720" w:right="720" w:bottom="720" w:left="1134" w:header="709" w:footer="284" w:gutter="0"/>
          <w:cols w:space="708"/>
          <w:titlePg/>
          <w:docGrid w:linePitch="360"/>
        </w:sectPr>
      </w:pPr>
    </w:p>
    <w:p w:rsidR="000A5F42" w:rsidRPr="000606CC" w:rsidRDefault="000A5F42" w:rsidP="000A5F42">
      <w:pPr>
        <w:pStyle w:val="NoSpacing"/>
        <w:rPr>
          <w:rFonts w:cstheme="minorHAnsi"/>
          <w:sz w:val="18"/>
          <w:szCs w:val="18"/>
        </w:rPr>
      </w:pPr>
      <w:r w:rsidRPr="000606CC">
        <w:rPr>
          <w:rStyle w:val="Strong"/>
          <w:bCs w:val="0"/>
          <w:sz w:val="20"/>
        </w:rPr>
        <w:t>Communicable Diseases Intelligence</w:t>
      </w:r>
    </w:p>
    <w:p w:rsidR="000A5F42" w:rsidRPr="000606CC" w:rsidRDefault="000A5F42" w:rsidP="000A5F42">
      <w:pPr>
        <w:pStyle w:val="NoSpacing"/>
        <w:rPr>
          <w:rFonts w:cstheme="minorHAnsi"/>
          <w:sz w:val="20"/>
          <w:szCs w:val="18"/>
        </w:rPr>
      </w:pPr>
      <w:r w:rsidRPr="000606CC">
        <w:rPr>
          <w:rFonts w:cstheme="minorHAnsi"/>
          <w:sz w:val="20"/>
          <w:szCs w:val="18"/>
        </w:rPr>
        <w:t>ISSN: 2209-6051 Online</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 Department of Health. The journal aims to disseminate information on the epidemiology, surveillance, prevention and control of communicable diseases of relevance to Australia.</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00C42834">
        <w:rPr>
          <w:rFonts w:cstheme="minorHAnsi"/>
          <w:sz w:val="20"/>
          <w:szCs w:val="18"/>
        </w:rPr>
        <w:t>Tanja Farmer</w:t>
      </w: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Durrheim, </w:t>
      </w:r>
      <w:r w:rsidRPr="000606CC">
        <w:rPr>
          <w:rStyle w:val="nobreak"/>
          <w:rFonts w:cstheme="minorHAnsi"/>
          <w:sz w:val="20"/>
          <w:szCs w:val="18"/>
        </w:rPr>
        <w:t>Mark Ferson</w:t>
      </w:r>
      <w:r w:rsidR="00F55648">
        <w:rPr>
          <w:rFonts w:cstheme="minorHAnsi"/>
          <w:sz w:val="20"/>
          <w:szCs w:val="18"/>
        </w:rPr>
        <w:t xml:space="preserve">, John Kaldor, </w:t>
      </w:r>
      <w:r w:rsidRPr="000606CC">
        <w:rPr>
          <w:rStyle w:val="nobreak"/>
          <w:rFonts w:cstheme="minorHAnsi"/>
          <w:sz w:val="20"/>
          <w:szCs w:val="18"/>
        </w:rPr>
        <w:t>Martyn Kirk</w:t>
      </w:r>
      <w:r w:rsidR="00F55648">
        <w:rPr>
          <w:rStyle w:val="nobreak"/>
          <w:rFonts w:cstheme="minorHAnsi"/>
          <w:sz w:val="20"/>
          <w:szCs w:val="18"/>
        </w:rPr>
        <w:t xml:space="preserve"> and Linda Selvey</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2"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Pr="000606CC">
        <w:rPr>
          <w:rFonts w:cstheme="minorHAnsi"/>
          <w:sz w:val="20"/>
          <w:szCs w:val="18"/>
        </w:rPr>
        <w:t xml:space="preserve">Communicable Diseases Intelligence is produced by: </w:t>
      </w:r>
      <w:r w:rsidRPr="000606CC">
        <w:rPr>
          <w:rFonts w:cstheme="minorHAnsi"/>
          <w:sz w:val="20"/>
          <w:szCs w:val="18"/>
        </w:rPr>
        <w:br/>
        <w:t>Health Protection Policy Branch, Office of Health Protection, Australian Government Department of Health</w:t>
      </w:r>
      <w:r w:rsidRPr="000606CC">
        <w:rPr>
          <w:rFonts w:cstheme="minorHAnsi"/>
          <w:sz w:val="20"/>
          <w:szCs w:val="18"/>
        </w:rPr>
        <w:br/>
        <w:t>GPO Box 9848, (MDP 6) CANBERRA ACT 2601</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3"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r w:rsidRPr="000606CC">
        <w:rPr>
          <w:rFonts w:cstheme="minorHAnsi"/>
          <w:sz w:val="20"/>
          <w:szCs w:val="18"/>
        </w:rPr>
        <w:t xml:space="preserve">You are invited to submit your next communicable disease related article to the Communicable Diseases Intelligence (CDI) for consideration. More information regarding CDI can be found at: </w:t>
      </w:r>
      <w:hyperlink r:id="rId14"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15" w:history="1">
        <w:r w:rsidRPr="000606CC">
          <w:rPr>
            <w:rStyle w:val="Hyperlink"/>
            <w:rFonts w:cstheme="minorHAnsi"/>
            <w:sz w:val="20"/>
            <w:szCs w:val="18"/>
          </w:rPr>
          <w:t>cdi.editor@health.gov.au</w:t>
        </w:r>
      </w:hyperlink>
      <w:r w:rsidRPr="000606CC">
        <w:rPr>
          <w:rFonts w:cstheme="minorHAnsi"/>
          <w:sz w:val="20"/>
          <w:szCs w:val="18"/>
        </w:rPr>
        <w:t>.</w:t>
      </w:r>
    </w:p>
    <w:p w:rsidR="000A5F42" w:rsidRPr="000606CC" w:rsidRDefault="000A5F42" w:rsidP="000A5F42">
      <w:pPr>
        <w:pStyle w:val="NoSpacing"/>
        <w:pBdr>
          <w:bottom w:val="single" w:sz="6" w:space="1" w:color="auto"/>
        </w:pBdr>
        <w:rPr>
          <w:rStyle w:val="Strong"/>
          <w:rFonts w:cstheme="minorHAnsi"/>
          <w:sz w:val="12"/>
          <w:szCs w:val="18"/>
        </w:rPr>
      </w:pP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This journal is indexed by Index Medicus and Medline.</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Attribution-NonCommercial-NoDerivatives CC BY-NC-ND</w:t>
      </w:r>
    </w:p>
    <w:p w:rsidR="000A5F42" w:rsidRPr="000606CC" w:rsidRDefault="000A5F42" w:rsidP="000A5F42">
      <w:pPr>
        <w:pStyle w:val="NoSpacing"/>
        <w:rPr>
          <w:rFonts w:cstheme="minorHAnsi"/>
          <w:sz w:val="20"/>
          <w:szCs w:val="18"/>
        </w:rPr>
      </w:pPr>
      <w:r w:rsidRPr="000606CC">
        <w:rPr>
          <w:rFonts w:cstheme="minorHAnsi"/>
          <w:sz w:val="20"/>
          <w:szCs w:val="18"/>
        </w:rPr>
        <w:t xml:space="preserve">© </w:t>
      </w:r>
      <w:r w:rsidR="001200CB">
        <w:rPr>
          <w:rFonts w:cstheme="minorHAnsi"/>
          <w:sz w:val="20"/>
          <w:szCs w:val="18"/>
        </w:rPr>
        <w:t>2020</w:t>
      </w:r>
      <w:r w:rsidRPr="000606CC">
        <w:rPr>
          <w:rFonts w:cstheme="minorHAnsi"/>
          <w:sz w:val="20"/>
          <w:szCs w:val="18"/>
        </w:rPr>
        <w:t xml:space="preserve"> Commonwealth of Australia as represented by the Department of Health</w:t>
      </w:r>
    </w:p>
    <w:p w:rsidR="000A5F42" w:rsidRPr="000606CC" w:rsidRDefault="000A5F42" w:rsidP="000A5F42">
      <w:pPr>
        <w:pStyle w:val="NoSpacing"/>
        <w:rPr>
          <w:rFonts w:cstheme="minorHAnsi"/>
          <w:sz w:val="20"/>
          <w:szCs w:val="18"/>
        </w:rPr>
      </w:pPr>
      <w:r w:rsidRPr="000606CC">
        <w:rPr>
          <w:rFonts w:cstheme="minorHAnsi"/>
          <w:sz w:val="20"/>
          <w:szCs w:val="18"/>
        </w:rPr>
        <w:t xml:space="preserve">This publication is licensed under a Creative Commons Attribution-NonCommercial-NoDerivatives 4.0 International Licence from </w:t>
      </w:r>
      <w:hyperlink r:id="rId16"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17"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logos (including the Department of Health’s logo) and trademarks;</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images;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material belonging to third parties.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r w:rsidRPr="000606CC">
        <w:rPr>
          <w:rFonts w:cstheme="minorHAnsi"/>
          <w:sz w:val="20"/>
          <w:szCs w:val="18"/>
        </w:rPr>
        <w:t xml:space="preserve">Enquiries regarding any other use of this publication should be addressed to the Communication Branch, Department of Health, GPO Box 9848, Canberra ACT 2601, or via e-mail to: </w:t>
      </w:r>
      <w:hyperlink r:id="rId18"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19" w:tooltip="Communicable Diseases Network Australia website" w:history="1">
        <w:r w:rsidRPr="000606CC">
          <w:rPr>
            <w:rStyle w:val="Hyperlink"/>
            <w:rFonts w:cstheme="minorHAnsi"/>
            <w:sz w:val="20"/>
            <w:szCs w:val="18"/>
          </w:rPr>
          <w:t>http://www.health.gov.au/cdna</w:t>
        </w:r>
      </w:hyperlink>
    </w:p>
    <w:p w:rsidR="001B37B8" w:rsidRPr="00E92237" w:rsidRDefault="001B37B8" w:rsidP="001B37B8">
      <w:pPr>
        <w:rPr>
          <w:rFonts w:cs="Myriad Pro"/>
          <w:color w:val="211D1E"/>
          <w:sz w:val="20"/>
          <w:szCs w:val="20"/>
        </w:rPr>
      </w:pPr>
    </w:p>
    <w:sectPr w:rsidR="001B37B8" w:rsidRPr="00E92237" w:rsidSect="002B75A9">
      <w:headerReference w:type="default" r:id="rId20"/>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275" w:rsidRDefault="009E0275" w:rsidP="00E54DBA">
      <w:r>
        <w:separator/>
      </w:r>
    </w:p>
    <w:p w:rsidR="009E0275" w:rsidRDefault="009E0275"/>
    <w:p w:rsidR="009E0275" w:rsidRDefault="009E0275" w:rsidP="008714B0"/>
  </w:endnote>
  <w:endnote w:type="continuationSeparator" w:id="0">
    <w:p w:rsidR="009E0275" w:rsidRDefault="009E0275" w:rsidP="00E54DBA">
      <w:r>
        <w:continuationSeparator/>
      </w:r>
    </w:p>
    <w:p w:rsidR="009E0275" w:rsidRDefault="009E0275"/>
    <w:p w:rsidR="009E0275" w:rsidRDefault="009E0275"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ED1" w:rsidRPr="0042435E" w:rsidRDefault="0042435E"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990009">
      <w:rPr>
        <w:noProof/>
        <w:sz w:val="18"/>
      </w:rPr>
      <w:t>3</w:t>
    </w:r>
    <w:r w:rsidRPr="00BE6C3D">
      <w:rPr>
        <w:noProof/>
        <w:sz w:val="18"/>
      </w:rPr>
      <w:fldChar w:fldCharType="end"/>
    </w:r>
    <w:r>
      <w:rPr>
        <w:noProof/>
        <w:sz w:val="18"/>
      </w:rPr>
      <w:t xml:space="preserve"> of </w:t>
    </w:r>
    <w:r w:rsidR="007C6454">
      <w:rPr>
        <w:noProof/>
        <w:sz w:val="18"/>
      </w:rPr>
      <w:fldChar w:fldCharType="begin"/>
    </w:r>
    <w:r w:rsidR="007C6454">
      <w:rPr>
        <w:noProof/>
        <w:sz w:val="18"/>
      </w:rPr>
      <w:instrText xml:space="preserve"> NUMPAGES \* MERGEFORMAT </w:instrText>
    </w:r>
    <w:r w:rsidR="007C6454">
      <w:rPr>
        <w:noProof/>
        <w:sz w:val="18"/>
      </w:rPr>
      <w:fldChar w:fldCharType="separate"/>
    </w:r>
    <w:r w:rsidR="00990009">
      <w:rPr>
        <w:noProof/>
        <w:sz w:val="18"/>
      </w:rPr>
      <w:t>3</w:t>
    </w:r>
    <w:r w:rsidR="007C6454">
      <w:rPr>
        <w:noProof/>
        <w:sz w:val="18"/>
      </w:rPr>
      <w:fldChar w:fldCharType="end"/>
    </w:r>
    <w:r>
      <w:rPr>
        <w:noProof/>
        <w:sz w:val="18"/>
      </w:rPr>
      <w:t xml:space="preserve"> </w:t>
    </w:r>
    <w:r w:rsidRPr="004315F5">
      <w:rPr>
        <w:sz w:val="18"/>
      </w:rPr>
      <w:t xml:space="preserve"> </w:t>
    </w:r>
    <w:r w:rsidR="00231046">
      <w:rPr>
        <w:noProof/>
        <w:sz w:val="18"/>
      </w:rPr>
      <w:ptab w:relativeTo="margin" w:alignment="center" w:leader="none"/>
    </w:r>
    <w:r w:rsidR="00231046" w:rsidRPr="004315F5">
      <w:rPr>
        <w:sz w:val="18"/>
      </w:rPr>
      <w:t xml:space="preserve"> </w:t>
    </w:r>
    <w:r w:rsidR="00CE342B" w:rsidRPr="00A164D5">
      <w:rPr>
        <w:b/>
        <w:i/>
        <w:sz w:val="18"/>
      </w:rPr>
      <w:t>Commun Dis Intell (2018)</w:t>
    </w:r>
    <w:r w:rsidR="00CE342B">
      <w:rPr>
        <w:sz w:val="18"/>
      </w:rPr>
      <w:t xml:space="preserve"> </w:t>
    </w:r>
    <w:r w:rsidR="00231046">
      <w:rPr>
        <w:sz w:val="18"/>
      </w:rPr>
      <w:fldChar w:fldCharType="begin"/>
    </w:r>
    <w:r w:rsidR="00231046">
      <w:rPr>
        <w:sz w:val="18"/>
      </w:rPr>
      <w:instrText xml:space="preserve"> DOCPROPERTY  Year  \* MERGEFORMAT </w:instrText>
    </w:r>
    <w:r w:rsidR="00231046">
      <w:rPr>
        <w:sz w:val="18"/>
      </w:rPr>
      <w:fldChar w:fldCharType="separate"/>
    </w:r>
    <w:r w:rsidR="009E0275">
      <w:rPr>
        <w:sz w:val="18"/>
      </w:rPr>
      <w:t>2020</w:t>
    </w:r>
    <w:r w:rsidR="00231046">
      <w:rPr>
        <w:sz w:val="18"/>
      </w:rPr>
      <w:fldChar w:fldCharType="end"/>
    </w:r>
    <w:r w:rsidR="00231046">
      <w:rPr>
        <w:sz w:val="18"/>
      </w:rPr>
      <w:t xml:space="preserve"> </w:t>
    </w:r>
    <w:r w:rsidR="00231046">
      <w:rPr>
        <w:sz w:val="18"/>
      </w:rPr>
      <w:fldChar w:fldCharType="begin"/>
    </w:r>
    <w:r w:rsidR="00231046">
      <w:rPr>
        <w:sz w:val="18"/>
      </w:rPr>
      <w:instrText xml:space="preserve"> DOCPROPERTY  Vol  \* MERGEFORMAT </w:instrText>
    </w:r>
    <w:r w:rsidR="00231046">
      <w:rPr>
        <w:sz w:val="18"/>
      </w:rPr>
      <w:fldChar w:fldCharType="separate"/>
    </w:r>
    <w:r w:rsidR="009E0275">
      <w:rPr>
        <w:sz w:val="18"/>
      </w:rPr>
      <w:t>44</w:t>
    </w:r>
    <w:r w:rsidR="00231046">
      <w:rPr>
        <w:sz w:val="18"/>
      </w:rPr>
      <w:fldChar w:fldCharType="end"/>
    </w:r>
    <w:r w:rsidR="00CE342B">
      <w:rPr>
        <w:sz w:val="18"/>
      </w:rPr>
      <w:t xml:space="preserve"> </w:t>
    </w:r>
    <w:r w:rsidR="00CE342B">
      <w:rPr>
        <w:sz w:val="18"/>
      </w:rPr>
      <w:fldChar w:fldCharType="begin"/>
    </w:r>
    <w:r w:rsidR="00CE342B">
      <w:rPr>
        <w:sz w:val="18"/>
      </w:rPr>
      <w:instrText xml:space="preserve"> DOCPROPERTY  DOI  \* MERGEFORMAT </w:instrText>
    </w:r>
    <w:r w:rsidR="00CE342B">
      <w:rPr>
        <w:sz w:val="18"/>
      </w:rPr>
      <w:fldChar w:fldCharType="separate"/>
    </w:r>
    <w:r w:rsidR="00BB004F">
      <w:rPr>
        <w:sz w:val="18"/>
      </w:rPr>
      <w:t>https://doi.org/10.33321/10.33321/cdi.2020.44.47</w:t>
    </w:r>
    <w:r w:rsidR="00CE342B">
      <w:rPr>
        <w:sz w:val="18"/>
      </w:rPr>
      <w:fldChar w:fldCharType="end"/>
    </w:r>
    <w:r w:rsidR="00231046">
      <w:rPr>
        <w:sz w:val="18"/>
      </w:rPr>
      <w:t xml:space="preserve"> </w:t>
    </w:r>
    <w:r w:rsidR="00231046" w:rsidRPr="00155582">
      <w:rPr>
        <w:sz w:val="18"/>
      </w:rPr>
      <w:t>Epub</w:t>
    </w:r>
    <w:r w:rsidR="00CE342B">
      <w:rPr>
        <w:sz w:val="18"/>
      </w:rPr>
      <w:t xml:space="preserve"> </w:t>
    </w:r>
    <w:r w:rsidR="00CE342B">
      <w:rPr>
        <w:sz w:val="18"/>
      </w:rPr>
      <w:fldChar w:fldCharType="begin"/>
    </w:r>
    <w:r w:rsidR="00CE342B">
      <w:rPr>
        <w:sz w:val="18"/>
      </w:rPr>
      <w:instrText xml:space="preserve"> DOCPROPERTY  ePubDate  \* MERGEFORMAT </w:instrText>
    </w:r>
    <w:r w:rsidR="00CE342B">
      <w:rPr>
        <w:sz w:val="18"/>
      </w:rPr>
      <w:fldChar w:fldCharType="separate"/>
    </w:r>
    <w:r w:rsidR="00BB004F">
      <w:rPr>
        <w:sz w:val="18"/>
      </w:rPr>
      <w:t>15/06/2020</w:t>
    </w:r>
    <w:r w:rsidR="00CE342B">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378" w:rsidRPr="00BB5378" w:rsidRDefault="00BB5378"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990009">
      <w:rPr>
        <w:noProof/>
        <w:sz w:val="18"/>
      </w:rPr>
      <w:t>2</w:t>
    </w:r>
    <w:r w:rsidRPr="00BE6C3D">
      <w:rPr>
        <w:noProof/>
        <w:sz w:val="18"/>
      </w:rPr>
      <w:fldChar w:fldCharType="end"/>
    </w:r>
    <w:r>
      <w:rPr>
        <w:noProof/>
        <w:sz w:val="18"/>
      </w:rPr>
      <w:t xml:space="preserve"> of </w:t>
    </w:r>
    <w:r w:rsidR="00B132DB">
      <w:rPr>
        <w:noProof/>
        <w:sz w:val="18"/>
      </w:rPr>
      <w:fldChar w:fldCharType="begin"/>
    </w:r>
    <w:r w:rsidR="00B132DB">
      <w:rPr>
        <w:noProof/>
        <w:sz w:val="18"/>
      </w:rPr>
      <w:instrText xml:space="preserve"> NUMPAGES \* MERGEFORMAT </w:instrText>
    </w:r>
    <w:r w:rsidR="00B132DB">
      <w:rPr>
        <w:noProof/>
        <w:sz w:val="18"/>
      </w:rPr>
      <w:fldChar w:fldCharType="separate"/>
    </w:r>
    <w:r w:rsidR="00990009">
      <w:rPr>
        <w:noProof/>
        <w:sz w:val="18"/>
      </w:rPr>
      <w:t>3</w:t>
    </w:r>
    <w:r w:rsidR="00B132DB">
      <w:rPr>
        <w:noProof/>
        <w:sz w:val="18"/>
      </w:rPr>
      <w:fldChar w:fldCharType="end"/>
    </w:r>
    <w:r>
      <w:rPr>
        <w:noProof/>
        <w:sz w:val="18"/>
      </w:rPr>
      <w:t xml:space="preserve"> </w:t>
    </w:r>
    <w:r>
      <w:rPr>
        <w:noProof/>
        <w:sz w:val="18"/>
      </w:rPr>
      <w:ptab w:relativeTo="margin" w:alignment="center" w:leader="none"/>
    </w:r>
    <w:r w:rsidRPr="004315F5">
      <w:rPr>
        <w:sz w:val="18"/>
      </w:rPr>
      <w:t xml:space="preserve"> </w:t>
    </w:r>
    <w:r w:rsidR="00A164D5" w:rsidRPr="00A164D5">
      <w:rPr>
        <w:b/>
        <w:i/>
        <w:sz w:val="18"/>
      </w:rPr>
      <w:t>Commun Dis Intell (2018)</w:t>
    </w:r>
    <w:r w:rsidR="00A164D5">
      <w:rPr>
        <w:sz w:val="18"/>
      </w:rPr>
      <w:t xml:space="preserve"> </w:t>
    </w:r>
    <w:r w:rsidR="005E4229">
      <w:rPr>
        <w:sz w:val="18"/>
      </w:rPr>
      <w:fldChar w:fldCharType="begin"/>
    </w:r>
    <w:r w:rsidR="005E4229">
      <w:rPr>
        <w:sz w:val="18"/>
      </w:rPr>
      <w:instrText xml:space="preserve"> DOCPROPERTY  Year  \* MERGEFORMAT </w:instrText>
    </w:r>
    <w:r w:rsidR="005E4229">
      <w:rPr>
        <w:sz w:val="18"/>
      </w:rPr>
      <w:fldChar w:fldCharType="separate"/>
    </w:r>
    <w:r w:rsidR="009E0275">
      <w:rPr>
        <w:sz w:val="18"/>
      </w:rPr>
      <w:t>2020</w:t>
    </w:r>
    <w:r w:rsidR="005E4229">
      <w:rPr>
        <w:sz w:val="18"/>
      </w:rPr>
      <w:fldChar w:fldCharType="end"/>
    </w:r>
    <w:r w:rsidR="005E4229">
      <w:rPr>
        <w:sz w:val="18"/>
      </w:rPr>
      <w:t xml:space="preserve"> </w:t>
    </w:r>
    <w:r w:rsidR="00581588">
      <w:rPr>
        <w:sz w:val="18"/>
      </w:rPr>
      <w:fldChar w:fldCharType="begin"/>
    </w:r>
    <w:r w:rsidR="00581588">
      <w:rPr>
        <w:sz w:val="18"/>
      </w:rPr>
      <w:instrText xml:space="preserve"> DOCPROPERTY  Vol  \* MERGEFORMAT </w:instrText>
    </w:r>
    <w:r w:rsidR="00581588">
      <w:rPr>
        <w:sz w:val="18"/>
      </w:rPr>
      <w:fldChar w:fldCharType="separate"/>
    </w:r>
    <w:r w:rsidR="009E0275">
      <w:rPr>
        <w:sz w:val="18"/>
      </w:rPr>
      <w:t>44</w:t>
    </w:r>
    <w:r w:rsidR="00581588">
      <w:rPr>
        <w:sz w:val="18"/>
      </w:rPr>
      <w:fldChar w:fldCharType="end"/>
    </w:r>
    <w:r w:rsidR="00047B68">
      <w:rPr>
        <w:sz w:val="18"/>
      </w:rPr>
      <w:t xml:space="preserve"> </w:t>
    </w:r>
    <w:r w:rsidR="00047B68">
      <w:rPr>
        <w:sz w:val="18"/>
      </w:rPr>
      <w:fldChar w:fldCharType="begin"/>
    </w:r>
    <w:r w:rsidR="00047B68">
      <w:rPr>
        <w:sz w:val="18"/>
      </w:rPr>
      <w:instrText xml:space="preserve"> DOCPROPERTY  DOI  \* MERGEFORMAT </w:instrText>
    </w:r>
    <w:r w:rsidR="00047B68">
      <w:rPr>
        <w:sz w:val="18"/>
      </w:rPr>
      <w:fldChar w:fldCharType="separate"/>
    </w:r>
    <w:r w:rsidR="00BB004F">
      <w:rPr>
        <w:sz w:val="18"/>
      </w:rPr>
      <w:t>https://doi.org/10.33321/10.33321/cdi.2020.44.47</w:t>
    </w:r>
    <w:r w:rsidR="00047B68">
      <w:rPr>
        <w:sz w:val="18"/>
      </w:rPr>
      <w:fldChar w:fldCharType="end"/>
    </w:r>
    <w:r w:rsidR="00C24725">
      <w:rPr>
        <w:sz w:val="18"/>
      </w:rPr>
      <w:t xml:space="preserve"> </w:t>
    </w:r>
    <w:r w:rsidRPr="00155582">
      <w:rPr>
        <w:sz w:val="18"/>
      </w:rPr>
      <w:t xml:space="preserve">Epub </w:t>
    </w:r>
    <w:r w:rsidR="00422FEB">
      <w:rPr>
        <w:sz w:val="18"/>
      </w:rPr>
      <w:fldChar w:fldCharType="begin"/>
    </w:r>
    <w:r w:rsidR="00422FEB">
      <w:rPr>
        <w:sz w:val="18"/>
      </w:rPr>
      <w:instrText xml:space="preserve"> DOCPROPERTY  ePubDate  \* MERGEFORMAT </w:instrText>
    </w:r>
    <w:r w:rsidR="00422FEB">
      <w:rPr>
        <w:sz w:val="18"/>
      </w:rPr>
      <w:fldChar w:fldCharType="separate"/>
    </w:r>
    <w:r w:rsidR="00BB004F">
      <w:rPr>
        <w:sz w:val="18"/>
      </w:rPr>
      <w:t>15/06/2020</w:t>
    </w:r>
    <w:r w:rsidR="00422FEB">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275" w:rsidRDefault="009E0275" w:rsidP="00E54DBA">
      <w:r>
        <w:separator/>
      </w:r>
    </w:p>
  </w:footnote>
  <w:footnote w:type="continuationSeparator" w:id="0">
    <w:p w:rsidR="009E0275" w:rsidRDefault="009E0275" w:rsidP="00E54DBA">
      <w:r>
        <w:continuationSeparator/>
      </w:r>
    </w:p>
  </w:footnote>
  <w:footnote w:type="continuationNotice" w:id="1">
    <w:p w:rsidR="009E0275" w:rsidRPr="00224EFF" w:rsidRDefault="009E0275" w:rsidP="00224EF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84" w:rsidRPr="00A153B6" w:rsidRDefault="00990009"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355466">
          <w:t>Quarterly report</w:t>
        </w:r>
      </w:sdtContent>
    </w:sdt>
    <w:r w:rsidR="00A153B6">
      <w:ptab w:relativeTo="margin" w:alignment="right" w:leader="none"/>
    </w:r>
    <w:r w:rsidR="00A153B6"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48" w:rsidRPr="000A5F42" w:rsidRDefault="008B5348" w:rsidP="000A5F42">
    <w:pPr>
      <w:pStyle w:val="Header"/>
      <w:jc w:val="center"/>
      <w:rPr>
        <w:b/>
      </w:rPr>
    </w:pPr>
    <w:r w:rsidRPr="00E810C5">
      <w:rPr>
        <w:rFonts w:cs="Myriad Pro"/>
        <w:noProof/>
        <w:color w:val="211D1E"/>
        <w:sz w:val="16"/>
      </w:rPr>
      <w:drawing>
        <wp:inline distT="0" distB="0" distL="0" distR="0" wp14:anchorId="25D92371" wp14:editId="16317A33">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D50"/>
    <w:multiLevelType w:val="hybridMultilevel"/>
    <w:tmpl w:val="77E068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F90695"/>
    <w:multiLevelType w:val="hybridMultilevel"/>
    <w:tmpl w:val="5CC800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FD3E8E"/>
    <w:multiLevelType w:val="multilevel"/>
    <w:tmpl w:val="27684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7"/>
  </w:num>
  <w:num w:numId="6">
    <w:abstractNumId w:val="8"/>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ttachedTemplate r:id="rId1"/>
  <w:defaultTabStop w:val="720"/>
  <w:noPunctuationKerning/>
  <w:characterSpacingControl w:val="doNotCompress"/>
  <w:savePreviewPicture/>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75"/>
    <w:rsid w:val="00000B5B"/>
    <w:rsid w:val="00001611"/>
    <w:rsid w:val="000104A8"/>
    <w:rsid w:val="0001246E"/>
    <w:rsid w:val="000124B1"/>
    <w:rsid w:val="00016FE6"/>
    <w:rsid w:val="00031064"/>
    <w:rsid w:val="00031692"/>
    <w:rsid w:val="00032531"/>
    <w:rsid w:val="000471BF"/>
    <w:rsid w:val="00047B68"/>
    <w:rsid w:val="00052600"/>
    <w:rsid w:val="0005643C"/>
    <w:rsid w:val="0006264A"/>
    <w:rsid w:val="00073D77"/>
    <w:rsid w:val="00081655"/>
    <w:rsid w:val="000864E0"/>
    <w:rsid w:val="000958A3"/>
    <w:rsid w:val="000969B3"/>
    <w:rsid w:val="000A5F42"/>
    <w:rsid w:val="000B50D7"/>
    <w:rsid w:val="000D4B4D"/>
    <w:rsid w:val="00113D58"/>
    <w:rsid w:val="001200CB"/>
    <w:rsid w:val="001378A3"/>
    <w:rsid w:val="00155582"/>
    <w:rsid w:val="00161590"/>
    <w:rsid w:val="00171CC0"/>
    <w:rsid w:val="00175494"/>
    <w:rsid w:val="00175629"/>
    <w:rsid w:val="001830EC"/>
    <w:rsid w:val="00183534"/>
    <w:rsid w:val="001A4A96"/>
    <w:rsid w:val="001A5D05"/>
    <w:rsid w:val="001A796C"/>
    <w:rsid w:val="001B2614"/>
    <w:rsid w:val="001B37B8"/>
    <w:rsid w:val="001B552F"/>
    <w:rsid w:val="001C0893"/>
    <w:rsid w:val="001C1303"/>
    <w:rsid w:val="001C70B2"/>
    <w:rsid w:val="001D0AF1"/>
    <w:rsid w:val="001D37C7"/>
    <w:rsid w:val="001D6888"/>
    <w:rsid w:val="00224EFF"/>
    <w:rsid w:val="002276DC"/>
    <w:rsid w:val="00227E00"/>
    <w:rsid w:val="002307CB"/>
    <w:rsid w:val="00231046"/>
    <w:rsid w:val="00234F21"/>
    <w:rsid w:val="00242659"/>
    <w:rsid w:val="002428F7"/>
    <w:rsid w:val="0024315F"/>
    <w:rsid w:val="00252C9A"/>
    <w:rsid w:val="00252DC9"/>
    <w:rsid w:val="00253101"/>
    <w:rsid w:val="00256309"/>
    <w:rsid w:val="00257484"/>
    <w:rsid w:val="00260636"/>
    <w:rsid w:val="00275C78"/>
    <w:rsid w:val="00280594"/>
    <w:rsid w:val="00281EE3"/>
    <w:rsid w:val="00284E4A"/>
    <w:rsid w:val="002A3799"/>
    <w:rsid w:val="002A3BCC"/>
    <w:rsid w:val="002A4516"/>
    <w:rsid w:val="002A569F"/>
    <w:rsid w:val="002A7066"/>
    <w:rsid w:val="002B001E"/>
    <w:rsid w:val="002B09B7"/>
    <w:rsid w:val="002B75A9"/>
    <w:rsid w:val="002C21B0"/>
    <w:rsid w:val="002E2FB3"/>
    <w:rsid w:val="002F327B"/>
    <w:rsid w:val="00301626"/>
    <w:rsid w:val="003059EC"/>
    <w:rsid w:val="00316CCD"/>
    <w:rsid w:val="00324F7E"/>
    <w:rsid w:val="003323BC"/>
    <w:rsid w:val="00346D42"/>
    <w:rsid w:val="00346E11"/>
    <w:rsid w:val="00355466"/>
    <w:rsid w:val="003601C0"/>
    <w:rsid w:val="003635F5"/>
    <w:rsid w:val="00372A88"/>
    <w:rsid w:val="00381A0F"/>
    <w:rsid w:val="003A1B3A"/>
    <w:rsid w:val="003A40F5"/>
    <w:rsid w:val="003A74D8"/>
    <w:rsid w:val="003B5B8C"/>
    <w:rsid w:val="003D79B1"/>
    <w:rsid w:val="003E74EE"/>
    <w:rsid w:val="003F0552"/>
    <w:rsid w:val="003F3BC2"/>
    <w:rsid w:val="00401ED1"/>
    <w:rsid w:val="0040224C"/>
    <w:rsid w:val="00413EE1"/>
    <w:rsid w:val="0041532A"/>
    <w:rsid w:val="004164BB"/>
    <w:rsid w:val="00421ECE"/>
    <w:rsid w:val="00422FEB"/>
    <w:rsid w:val="0042435E"/>
    <w:rsid w:val="004315F5"/>
    <w:rsid w:val="00433456"/>
    <w:rsid w:val="00433DFA"/>
    <w:rsid w:val="00435D67"/>
    <w:rsid w:val="004404AD"/>
    <w:rsid w:val="00464A58"/>
    <w:rsid w:val="00473D2D"/>
    <w:rsid w:val="004A2125"/>
    <w:rsid w:val="004A38F6"/>
    <w:rsid w:val="004B4EB6"/>
    <w:rsid w:val="004C083C"/>
    <w:rsid w:val="004C67C6"/>
    <w:rsid w:val="004D29DE"/>
    <w:rsid w:val="00500E77"/>
    <w:rsid w:val="00510EAC"/>
    <w:rsid w:val="00542A57"/>
    <w:rsid w:val="00565974"/>
    <w:rsid w:val="005732C0"/>
    <w:rsid w:val="0057336D"/>
    <w:rsid w:val="0057489A"/>
    <w:rsid w:val="00574ACF"/>
    <w:rsid w:val="00581588"/>
    <w:rsid w:val="0058540B"/>
    <w:rsid w:val="00587C87"/>
    <w:rsid w:val="00590B80"/>
    <w:rsid w:val="005B2926"/>
    <w:rsid w:val="005B3134"/>
    <w:rsid w:val="005B4E61"/>
    <w:rsid w:val="005B595A"/>
    <w:rsid w:val="005B66C2"/>
    <w:rsid w:val="005D04E4"/>
    <w:rsid w:val="005D2465"/>
    <w:rsid w:val="005D2F3A"/>
    <w:rsid w:val="005E33DD"/>
    <w:rsid w:val="005E4229"/>
    <w:rsid w:val="005E540E"/>
    <w:rsid w:val="005E55FB"/>
    <w:rsid w:val="005F16BB"/>
    <w:rsid w:val="00607115"/>
    <w:rsid w:val="00620768"/>
    <w:rsid w:val="0062594B"/>
    <w:rsid w:val="00631406"/>
    <w:rsid w:val="006324FF"/>
    <w:rsid w:val="006351D6"/>
    <w:rsid w:val="00636E0D"/>
    <w:rsid w:val="0064142F"/>
    <w:rsid w:val="00643CB4"/>
    <w:rsid w:val="00651CB0"/>
    <w:rsid w:val="00656427"/>
    <w:rsid w:val="00660255"/>
    <w:rsid w:val="00664BD3"/>
    <w:rsid w:val="006971F3"/>
    <w:rsid w:val="006C74A3"/>
    <w:rsid w:val="006D1381"/>
    <w:rsid w:val="006D31BC"/>
    <w:rsid w:val="006D4E5B"/>
    <w:rsid w:val="006E7943"/>
    <w:rsid w:val="006F24EA"/>
    <w:rsid w:val="00704CA9"/>
    <w:rsid w:val="0071048D"/>
    <w:rsid w:val="00710F86"/>
    <w:rsid w:val="007111A8"/>
    <w:rsid w:val="00724CFB"/>
    <w:rsid w:val="00731BC3"/>
    <w:rsid w:val="00741192"/>
    <w:rsid w:val="00743A33"/>
    <w:rsid w:val="00746080"/>
    <w:rsid w:val="0075144A"/>
    <w:rsid w:val="007854C6"/>
    <w:rsid w:val="00786329"/>
    <w:rsid w:val="00791D94"/>
    <w:rsid w:val="00792C7D"/>
    <w:rsid w:val="00794A4D"/>
    <w:rsid w:val="007A5234"/>
    <w:rsid w:val="007B7854"/>
    <w:rsid w:val="007C56A1"/>
    <w:rsid w:val="007C6454"/>
    <w:rsid w:val="007E01E0"/>
    <w:rsid w:val="007E05A0"/>
    <w:rsid w:val="007E3ECA"/>
    <w:rsid w:val="007F0B93"/>
    <w:rsid w:val="007F2ECA"/>
    <w:rsid w:val="00811708"/>
    <w:rsid w:val="00816B90"/>
    <w:rsid w:val="00817799"/>
    <w:rsid w:val="00822F5F"/>
    <w:rsid w:val="00824FD3"/>
    <w:rsid w:val="00826589"/>
    <w:rsid w:val="00834BCC"/>
    <w:rsid w:val="00850D54"/>
    <w:rsid w:val="008714B0"/>
    <w:rsid w:val="00876331"/>
    <w:rsid w:val="00880726"/>
    <w:rsid w:val="0088712D"/>
    <w:rsid w:val="008A3544"/>
    <w:rsid w:val="008B48B8"/>
    <w:rsid w:val="008B5348"/>
    <w:rsid w:val="008B58F8"/>
    <w:rsid w:val="008C0712"/>
    <w:rsid w:val="008C4520"/>
    <w:rsid w:val="008C5F09"/>
    <w:rsid w:val="008D470F"/>
    <w:rsid w:val="008E1F8F"/>
    <w:rsid w:val="008E4768"/>
    <w:rsid w:val="008E761E"/>
    <w:rsid w:val="008F77B3"/>
    <w:rsid w:val="009008F5"/>
    <w:rsid w:val="00904CC1"/>
    <w:rsid w:val="009066AF"/>
    <w:rsid w:val="00912050"/>
    <w:rsid w:val="00912E48"/>
    <w:rsid w:val="0092746F"/>
    <w:rsid w:val="00935DC9"/>
    <w:rsid w:val="009446C0"/>
    <w:rsid w:val="00953BBE"/>
    <w:rsid w:val="0096082E"/>
    <w:rsid w:val="00961347"/>
    <w:rsid w:val="00967410"/>
    <w:rsid w:val="00967D73"/>
    <w:rsid w:val="0098119A"/>
    <w:rsid w:val="00984AAF"/>
    <w:rsid w:val="00990009"/>
    <w:rsid w:val="00991B09"/>
    <w:rsid w:val="00993CB2"/>
    <w:rsid w:val="009A5166"/>
    <w:rsid w:val="009A76F8"/>
    <w:rsid w:val="009B2B83"/>
    <w:rsid w:val="009C49F8"/>
    <w:rsid w:val="009D77CC"/>
    <w:rsid w:val="009E0275"/>
    <w:rsid w:val="009E2423"/>
    <w:rsid w:val="009E55D7"/>
    <w:rsid w:val="009F4150"/>
    <w:rsid w:val="009F5665"/>
    <w:rsid w:val="009F5DAD"/>
    <w:rsid w:val="00A01BCA"/>
    <w:rsid w:val="00A10458"/>
    <w:rsid w:val="00A153B6"/>
    <w:rsid w:val="00A164D5"/>
    <w:rsid w:val="00A273C3"/>
    <w:rsid w:val="00A30C37"/>
    <w:rsid w:val="00A36C65"/>
    <w:rsid w:val="00A41BBE"/>
    <w:rsid w:val="00A45BDD"/>
    <w:rsid w:val="00A46A0A"/>
    <w:rsid w:val="00A553F8"/>
    <w:rsid w:val="00A6708F"/>
    <w:rsid w:val="00A71BF6"/>
    <w:rsid w:val="00A74BA3"/>
    <w:rsid w:val="00A86F9A"/>
    <w:rsid w:val="00AA35E6"/>
    <w:rsid w:val="00AA50B6"/>
    <w:rsid w:val="00AB3472"/>
    <w:rsid w:val="00AD0762"/>
    <w:rsid w:val="00AE4452"/>
    <w:rsid w:val="00AE7C38"/>
    <w:rsid w:val="00B01F99"/>
    <w:rsid w:val="00B02B37"/>
    <w:rsid w:val="00B05276"/>
    <w:rsid w:val="00B132DB"/>
    <w:rsid w:val="00B2350D"/>
    <w:rsid w:val="00B30086"/>
    <w:rsid w:val="00B31427"/>
    <w:rsid w:val="00B33861"/>
    <w:rsid w:val="00B35EEA"/>
    <w:rsid w:val="00B40DE2"/>
    <w:rsid w:val="00B50210"/>
    <w:rsid w:val="00B53955"/>
    <w:rsid w:val="00B6408A"/>
    <w:rsid w:val="00B714B8"/>
    <w:rsid w:val="00B82C2C"/>
    <w:rsid w:val="00B8720B"/>
    <w:rsid w:val="00B876EF"/>
    <w:rsid w:val="00BA4042"/>
    <w:rsid w:val="00BA4697"/>
    <w:rsid w:val="00BB004F"/>
    <w:rsid w:val="00BB5378"/>
    <w:rsid w:val="00BC0BD3"/>
    <w:rsid w:val="00BD0107"/>
    <w:rsid w:val="00BD7B40"/>
    <w:rsid w:val="00BE0C33"/>
    <w:rsid w:val="00BE262C"/>
    <w:rsid w:val="00BE6C3D"/>
    <w:rsid w:val="00C07606"/>
    <w:rsid w:val="00C12542"/>
    <w:rsid w:val="00C24725"/>
    <w:rsid w:val="00C30BA9"/>
    <w:rsid w:val="00C30FF4"/>
    <w:rsid w:val="00C3541E"/>
    <w:rsid w:val="00C36A8F"/>
    <w:rsid w:val="00C42834"/>
    <w:rsid w:val="00C42FFA"/>
    <w:rsid w:val="00C507D8"/>
    <w:rsid w:val="00C62EAC"/>
    <w:rsid w:val="00C63F9F"/>
    <w:rsid w:val="00C7723C"/>
    <w:rsid w:val="00C838F5"/>
    <w:rsid w:val="00CA0AA3"/>
    <w:rsid w:val="00CA1AF4"/>
    <w:rsid w:val="00CA6068"/>
    <w:rsid w:val="00CB15E1"/>
    <w:rsid w:val="00CB3D46"/>
    <w:rsid w:val="00CD1A87"/>
    <w:rsid w:val="00CD35F3"/>
    <w:rsid w:val="00CD5C93"/>
    <w:rsid w:val="00CE342B"/>
    <w:rsid w:val="00CF320C"/>
    <w:rsid w:val="00CF3A4B"/>
    <w:rsid w:val="00CF4001"/>
    <w:rsid w:val="00D05837"/>
    <w:rsid w:val="00D12D8A"/>
    <w:rsid w:val="00D13E0C"/>
    <w:rsid w:val="00D25896"/>
    <w:rsid w:val="00D373A1"/>
    <w:rsid w:val="00D37C0F"/>
    <w:rsid w:val="00D45661"/>
    <w:rsid w:val="00D45943"/>
    <w:rsid w:val="00D47D22"/>
    <w:rsid w:val="00D51865"/>
    <w:rsid w:val="00D51D0C"/>
    <w:rsid w:val="00D74140"/>
    <w:rsid w:val="00DA6E56"/>
    <w:rsid w:val="00DC6705"/>
    <w:rsid w:val="00DD2DE8"/>
    <w:rsid w:val="00DE38B4"/>
    <w:rsid w:val="00DE5D02"/>
    <w:rsid w:val="00E005A9"/>
    <w:rsid w:val="00E1166E"/>
    <w:rsid w:val="00E24DC0"/>
    <w:rsid w:val="00E2519C"/>
    <w:rsid w:val="00E25F2A"/>
    <w:rsid w:val="00E41455"/>
    <w:rsid w:val="00E42AD2"/>
    <w:rsid w:val="00E50856"/>
    <w:rsid w:val="00E538CC"/>
    <w:rsid w:val="00E54DBA"/>
    <w:rsid w:val="00E62B6F"/>
    <w:rsid w:val="00E63D7C"/>
    <w:rsid w:val="00E640D5"/>
    <w:rsid w:val="00E66E2E"/>
    <w:rsid w:val="00E67691"/>
    <w:rsid w:val="00E92237"/>
    <w:rsid w:val="00E951EF"/>
    <w:rsid w:val="00EA3D54"/>
    <w:rsid w:val="00EA56D9"/>
    <w:rsid w:val="00EA5CE3"/>
    <w:rsid w:val="00EB51C1"/>
    <w:rsid w:val="00EB5AE1"/>
    <w:rsid w:val="00EB5E0B"/>
    <w:rsid w:val="00EC2171"/>
    <w:rsid w:val="00ED442D"/>
    <w:rsid w:val="00ED70C2"/>
    <w:rsid w:val="00EE18FF"/>
    <w:rsid w:val="00EE489F"/>
    <w:rsid w:val="00EE6738"/>
    <w:rsid w:val="00EF56C1"/>
    <w:rsid w:val="00F0364D"/>
    <w:rsid w:val="00F0647F"/>
    <w:rsid w:val="00F10CE3"/>
    <w:rsid w:val="00F14F3B"/>
    <w:rsid w:val="00F16362"/>
    <w:rsid w:val="00F207C7"/>
    <w:rsid w:val="00F27023"/>
    <w:rsid w:val="00F36B6D"/>
    <w:rsid w:val="00F43FA3"/>
    <w:rsid w:val="00F4458A"/>
    <w:rsid w:val="00F55648"/>
    <w:rsid w:val="00F70046"/>
    <w:rsid w:val="00F748C2"/>
    <w:rsid w:val="00F76C5C"/>
    <w:rsid w:val="00F81EF3"/>
    <w:rsid w:val="00F84496"/>
    <w:rsid w:val="00F85DCB"/>
    <w:rsid w:val="00F86F9C"/>
    <w:rsid w:val="00F90D76"/>
    <w:rsid w:val="00F91CDA"/>
    <w:rsid w:val="00FC002E"/>
    <w:rsid w:val="00FC4C23"/>
    <w:rsid w:val="00FC642E"/>
    <w:rsid w:val="00FE2AE4"/>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C1D864"/>
  <w15:docId w15:val="{A7634B0D-A171-44CA-B6F1-0BF0E6CE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99"/>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4C083C"/>
    <w:pPr>
      <w:spacing w:line="240" w:lineRule="auto"/>
      <w:ind w:left="720" w:hanging="720"/>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4C083C"/>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di.editor@health.gov.au" TargetMode="External"/><Relationship Id="rId18" Type="http://schemas.openxmlformats.org/officeDocument/2006/relationships/hyperlink" Target="mailto:copyright@health.gov.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ealth.gov.au/cdi" TargetMode="External"/><Relationship Id="rId17" Type="http://schemas.openxmlformats.org/officeDocument/2006/relationships/hyperlink" Target="http://www.itsanhonour.gov.au/" TargetMode="External"/><Relationship Id="rId2" Type="http://schemas.openxmlformats.org/officeDocument/2006/relationships/customXml" Target="../customXml/item2.xml"/><Relationship Id="rId16" Type="http://schemas.openxmlformats.org/officeDocument/2006/relationships/hyperlink" Target="https://creativecommons.org/licenses/by-nc-nd/4.0/legalco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cdi.editor@health.gov.au" TargetMode="External"/><Relationship Id="rId10" Type="http://schemas.openxmlformats.org/officeDocument/2006/relationships/footer" Target="footer1.xml"/><Relationship Id="rId19" Type="http://schemas.openxmlformats.org/officeDocument/2006/relationships/hyperlink" Target="http://www.health.gov.au/cd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health.gov.au/cd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ESS\ZoFE\CDI\Desktopping\OpenCDI\2020\template-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BEB9D9-8110-4A29-9840-5FCE5DBE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template-2020.dotm</Template>
  <TotalTime>27</TotalTime>
  <Pages>3</Pages>
  <Words>942</Words>
  <Characters>5376</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Communicable Diseases Intelligence 2019 - Meningococcal Surveillance Australia</vt:lpstr>
      <vt:lpstr>Author details </vt:lpstr>
      <vt:lpstr>    Corresponding author </vt:lpstr>
    </vt:vector>
  </TitlesOfParts>
  <Company>Australian Government, Department of Health</Company>
  <LinksUpToDate>false</LinksUpToDate>
  <CharactersWithSpaces>6306</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2019 - Meningococcal Surveillance Australia</dc:title>
  <dc:subject>The reference laboratories of the Australian Meningococcal Surveillance Programme (AMSP) report data on the number of cases of invasive meningococcal disease (IMD) confirmed by laboratory testing using culture and by non-culture based techniques.</dc:subject>
  <dc:creator>Monica M Lahra and Tiffany R Hogan for the National Neisseria Network; Australia</dc:creator>
  <dc:description>© Commonwealth of Australia CC BY-NC-ND ISSN: 2209-6051 (Online)</dc:description>
  <cp:lastModifiedBy>YOUSEFI, Kasra</cp:lastModifiedBy>
  <cp:revision>41</cp:revision>
  <cp:lastPrinted>2018-05-10T02:19:00Z</cp:lastPrinted>
  <dcterms:created xsi:type="dcterms:W3CDTF">2020-05-19T06:26:00Z</dcterms:created>
  <dcterms:modified xsi:type="dcterms:W3CDTF">2020-06-03T03:51:00Z</dcterms:modified>
  <cp:category>Quarterly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2020</vt:lpwstr>
  </property>
  <property fmtid="{D5CDD505-2E9C-101B-9397-08002B2CF9AE}" pid="3" name="Vol">
    <vt:i4>44</vt:i4>
  </property>
  <property fmtid="{D5CDD505-2E9C-101B-9397-08002B2CF9AE}" pid="4" name="ePubDate">
    <vt:lpwstr>15/06/2020</vt:lpwstr>
  </property>
  <property fmtid="{D5CDD505-2E9C-101B-9397-08002B2CF9AE}" pid="5" name="DOI">
    <vt:lpwstr>https://doi.org/10.33321/10.33321/cdi.2020.44.47</vt:lpwstr>
  </property>
</Properties>
</file>