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676" w:rsidRPr="001A4A68" w:rsidRDefault="00E04676" w:rsidP="00E04676">
      <w:pPr>
        <w:pStyle w:val="Title"/>
        <w:rPr>
          <w:rFonts w:eastAsia="Times New Roman"/>
          <w:sz w:val="44"/>
          <w:szCs w:val="48"/>
        </w:rPr>
      </w:pPr>
      <w:r w:rsidRPr="001A4A68">
        <w:rPr>
          <w:rFonts w:eastAsia="Times New Roman"/>
          <w:sz w:val="48"/>
        </w:rPr>
        <w:t xml:space="preserve">Antimicrobial resistance and antibiotic use in Timor-Leste: building surveillance capacity with a One Health approach </w:t>
      </w:r>
    </w:p>
    <w:p w:rsidR="00E04676" w:rsidRDefault="00E04676" w:rsidP="00E04676">
      <w:r>
        <w:t xml:space="preserve">Joshua R Francis, </w:t>
      </w:r>
      <w:proofErr w:type="spellStart"/>
      <w:r>
        <w:t>Nevio</w:t>
      </w:r>
      <w:proofErr w:type="spellEnd"/>
      <w:r>
        <w:t xml:space="preserve"> </w:t>
      </w:r>
      <w:proofErr w:type="spellStart"/>
      <w:r>
        <w:t>Sarmento</w:t>
      </w:r>
      <w:proofErr w:type="spellEnd"/>
      <w:r>
        <w:t xml:space="preserve">, Anthony D K Draper, Ian Marr, Shawn Ting, Nicholas </w:t>
      </w:r>
      <w:proofErr w:type="spellStart"/>
      <w:r>
        <w:t>Fancourt</w:t>
      </w:r>
      <w:proofErr w:type="spellEnd"/>
      <w:r>
        <w:t xml:space="preserve">, </w:t>
      </w:r>
      <w:proofErr w:type="spellStart"/>
      <w:r>
        <w:t>Lucsendar</w:t>
      </w:r>
      <w:proofErr w:type="spellEnd"/>
      <w:r>
        <w:t xml:space="preserve"> Alves, Karen </w:t>
      </w:r>
      <w:proofErr w:type="spellStart"/>
      <w:r>
        <w:t>Champlin</w:t>
      </w:r>
      <w:proofErr w:type="spellEnd"/>
      <w:r>
        <w:t xml:space="preserve">, Alexander </w:t>
      </w:r>
      <w:proofErr w:type="spellStart"/>
      <w:r>
        <w:t>Bongers</w:t>
      </w:r>
      <w:proofErr w:type="spellEnd"/>
      <w:r>
        <w:t xml:space="preserve"> and Jennifer Yan </w:t>
      </w:r>
    </w:p>
    <w:p w:rsidR="00E04676" w:rsidRDefault="00E04676" w:rsidP="00E04676">
      <w:r>
        <w:t>The Menzies School of Health Research (Menzies) has been awarded a Fleming Fund country grant to work with the Timor-Leste Ministry of Health (</w:t>
      </w:r>
      <w:proofErr w:type="spellStart"/>
      <w:r>
        <w:t>MoH</w:t>
      </w:r>
      <w:proofErr w:type="spellEnd"/>
      <w:r>
        <w:t xml:space="preserve">) and Ministry of Agriculture and Fisheries (MAF) on a One Health project to build capacity for surveillance of antimicrobial resistance (AMR) and antimicrobial use (AMU) in the human and agriculture sectors in Timor-Leste. The Fleming Fund is a £265 million United Kingdom (UK) aid investment to tackle AMR in low- and middle-income countries around the world. The program is managed by the UK Department of Health and Social Care, in partnership with Mott MacDonald, the Fleming Fund Grant Management Agent. </w:t>
      </w:r>
    </w:p>
    <w:p w:rsidR="00E04676" w:rsidRPr="00E04676" w:rsidRDefault="00E04676" w:rsidP="00E04676">
      <w:pPr>
        <w:pStyle w:val="Heading1"/>
      </w:pPr>
      <w:r w:rsidRPr="00E04676">
        <w:t xml:space="preserve">One Health approach to antimicrobial resistance </w:t>
      </w:r>
    </w:p>
    <w:p w:rsidR="00E04676" w:rsidRDefault="00E04676" w:rsidP="00E04676">
      <w:r>
        <w:t>Antimicrobial resistance poses an enormous risk to human and animal health globally. Rates of AMR are escalating, particularly affecting people in low- and middle-income countries,</w:t>
      </w:r>
      <w:r>
        <w:rPr>
          <w:vertAlign w:val="superscript"/>
        </w:rPr>
        <w:t>1</w:t>
      </w:r>
      <w:r>
        <w:t xml:space="preserve"> with corresponding high rates of AMR in animals observed in similar settings.</w:t>
      </w:r>
      <w:r>
        <w:rPr>
          <w:vertAlign w:val="superscript"/>
        </w:rPr>
        <w:t>2</w:t>
      </w:r>
      <w:r>
        <w:t xml:space="preserve"> Strategies for reducing the impact of AMR include infection prevention and control through vaccination and improved water, sanitation and hygiene, as well as limiting unnecessary use of antibiotics. The problem of AMR is one that exemplifies the need for a One Health approach to finding solutions.</w:t>
      </w:r>
      <w:r>
        <w:rPr>
          <w:vertAlign w:val="superscript"/>
        </w:rPr>
        <w:t>3</w:t>
      </w:r>
      <w:r>
        <w:t xml:space="preserve"> </w:t>
      </w:r>
    </w:p>
    <w:p w:rsidR="00AD2B88" w:rsidRDefault="00AD2B88" w:rsidP="00AD2B88">
      <w:pPr>
        <w:pStyle w:val="CDIFigures"/>
      </w:pPr>
      <w:r w:rsidRPr="0060015C">
        <w:rPr>
          <w:rStyle w:val="Strong"/>
          <w:b/>
          <w:bCs w:val="0"/>
        </w:rPr>
        <w:t>Figure 1. Signing of the Memorandum of Understanding between Menzies School of Health Research and the Timor-Leste Ministry of Agriculture and Fisheries, Hotel Timor, Dili, Timor-Leste, 13 September 2019.</w:t>
      </w:r>
      <w:r w:rsidRPr="0060015C">
        <w:t xml:space="preserve"> </w:t>
      </w:r>
    </w:p>
    <w:p w:rsidR="00AD2B88" w:rsidRPr="0060015C" w:rsidRDefault="00AD2B88" w:rsidP="00AD2B88">
      <w:pPr>
        <w:pStyle w:val="CDIFigures"/>
        <w:jc w:val="center"/>
      </w:pPr>
      <w:r w:rsidRPr="0060015C">
        <w:rPr>
          <w:noProof/>
        </w:rPr>
        <w:drawing>
          <wp:inline distT="0" distB="0" distL="0" distR="0" wp14:anchorId="2FC791F7" wp14:editId="16377897">
            <wp:extent cx="5965616" cy="4475220"/>
            <wp:effectExtent l="0" t="0" r="0" b="1905"/>
            <wp:docPr id="2" name="Picture 2" descr="Picture of signing of the Memorandum of Understanding between Menzies School of Health Research and the Timor-Leste Ministry of Agriculture and Fisheries, Hotel Timor, Dili, Timor- Leste, 13 September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aging\CDESS\ZoFE\CDI\Desktopping\OpenCDI\2020\1-J-R-Francis-Antimicrobial resistance and [truncated]\MS-Word output\tables_and_figures-web-resources\image\figur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6482" cy="4490873"/>
                    </a:xfrm>
                    <a:prstGeom prst="rect">
                      <a:avLst/>
                    </a:prstGeom>
                    <a:noFill/>
                    <a:ln>
                      <a:noFill/>
                    </a:ln>
                  </pic:spPr>
                </pic:pic>
              </a:graphicData>
            </a:graphic>
          </wp:inline>
        </w:drawing>
      </w:r>
    </w:p>
    <w:p w:rsidR="00E04676" w:rsidRPr="00E04676" w:rsidRDefault="00E04676" w:rsidP="00E04676">
      <w:pPr>
        <w:pStyle w:val="Heading1"/>
      </w:pPr>
      <w:r w:rsidRPr="00E04676">
        <w:lastRenderedPageBreak/>
        <w:t xml:space="preserve">Current situation in Timor-Leste </w:t>
      </w:r>
    </w:p>
    <w:p w:rsidR="00E04676" w:rsidRDefault="00E04676" w:rsidP="00E04676">
      <w:r>
        <w:t xml:space="preserve">Data from Southeast Asia indicate high rates of resistance in Gram-negative infections, including those caused by extended-spectrum beta-lactamase-producing organisms, and </w:t>
      </w:r>
      <w:proofErr w:type="spellStart"/>
      <w:r>
        <w:t>carbapenemase</w:t>
      </w:r>
      <w:proofErr w:type="spellEnd"/>
      <w:r>
        <w:t xml:space="preserve">-producing </w:t>
      </w:r>
      <w:r w:rsidRPr="0060015C">
        <w:rPr>
          <w:rStyle w:val="Emphasis"/>
          <w:b w:val="0"/>
        </w:rPr>
        <w:t>Enterobacteriaceae</w:t>
      </w:r>
      <w:r>
        <w:t>.</w:t>
      </w:r>
      <w:r>
        <w:rPr>
          <w:vertAlign w:val="superscript"/>
        </w:rPr>
        <w:t>4</w:t>
      </w:r>
      <w:r>
        <w:t xml:space="preserve"> Data from Timor-Leste are limited but suggest similarly high rates of Gram-negative resistance.</w:t>
      </w:r>
      <w:r>
        <w:rPr>
          <w:vertAlign w:val="superscript"/>
        </w:rPr>
        <w:t>5,6</w:t>
      </w:r>
      <w:r>
        <w:t xml:space="preserve"> Capacity for routine diagnostic microbiology is improving at the National Health Laboratory in Timor-Leste, with support from Menzies, the Northern Territory Department of Health and the Indo-Pacific Centre for Health Security.</w:t>
      </w:r>
      <w:r>
        <w:rPr>
          <w:vertAlign w:val="superscript"/>
        </w:rPr>
        <w:t>7</w:t>
      </w:r>
      <w:r>
        <w:t xml:space="preserve"> However, routine AMR surveillance is not yet established. In the Veterinary Diagnostic Laboratory in Timor-Leste, antimicrobial susceptibility testing is yet to be introduced. No recent data on AMR in animals have been published. Routine surveillance of antibiotic use does not occur in human or animal health sectors, and restrictions on use are rarely enforced. </w:t>
      </w:r>
    </w:p>
    <w:p w:rsidR="00E04676" w:rsidRPr="00E04676" w:rsidRDefault="00E04676" w:rsidP="00E04676">
      <w:pPr>
        <w:pStyle w:val="Heading1"/>
      </w:pPr>
      <w:r w:rsidRPr="00E04676">
        <w:t xml:space="preserve">Plans to address antimicrobial resistance in Timor-Leste </w:t>
      </w:r>
    </w:p>
    <w:p w:rsidR="00E04676" w:rsidRDefault="00E04676" w:rsidP="00E04676">
      <w:r>
        <w:t xml:space="preserve">Recognising the need for action to address AMR and its impacts on health, the Timor-Leste </w:t>
      </w:r>
      <w:proofErr w:type="spellStart"/>
      <w:r w:rsidR="008E3FDE">
        <w:t>MoH</w:t>
      </w:r>
      <w:proofErr w:type="spellEnd"/>
      <w:r w:rsidR="008E3FDE">
        <w:t xml:space="preserve"> </w:t>
      </w:r>
      <w:r>
        <w:t xml:space="preserve">and MAF have agreed on a National Action Plan for AMR, outlining a One Health approach to developing capacity for AMR surveillance and implementing antimicrobial stewardship activities across human and animal health. The Menzies Fleming Fund project will support both Ministries to achieve the aims of the national action plan, through coordinated capacity building and mentoring activities, data collection and sharing, infrastructure improvements and targeted implementation research designed to evaluate and inform health systems changes over the two years of the project. </w:t>
      </w:r>
    </w:p>
    <w:p w:rsidR="00E04676" w:rsidRDefault="00E04676" w:rsidP="00E04676">
      <w:r>
        <w:t xml:space="preserve">The project was formally launched on Friday 13 September 2019 in Dili, with the signing of a Memorandum of Understanding (MOU) between Menzies and the MAF (Figure 1). Along with the existing MOU between Menzies and the </w:t>
      </w:r>
      <w:proofErr w:type="spellStart"/>
      <w:r w:rsidR="00696D57">
        <w:t>MoH</w:t>
      </w:r>
      <w:proofErr w:type="spellEnd"/>
      <w:r>
        <w:t xml:space="preserve">, this provides a platform for ongoing multisector collaboration with one of Australia’s nearest neighbours, to tackle health challenges that are truly global and span the full spectrum of One Health. </w:t>
      </w:r>
    </w:p>
    <w:p w:rsidR="00E04676" w:rsidRPr="00E04676" w:rsidRDefault="00E04676" w:rsidP="00E04676">
      <w:pPr>
        <w:pStyle w:val="Heading1"/>
      </w:pPr>
      <w:r w:rsidRPr="00E04676">
        <w:t xml:space="preserve">Author details </w:t>
      </w:r>
    </w:p>
    <w:p w:rsidR="00E04676" w:rsidRDefault="00E04676" w:rsidP="00E04676">
      <w:pPr>
        <w:pStyle w:val="NoSpacing"/>
      </w:pPr>
      <w:r>
        <w:t>Joshua R Francis</w:t>
      </w:r>
      <w:r>
        <w:rPr>
          <w:vertAlign w:val="superscript"/>
        </w:rPr>
        <w:t>1</w:t>
      </w:r>
      <w:proofErr w:type="gramStart"/>
      <w:r>
        <w:rPr>
          <w:vertAlign w:val="superscript"/>
        </w:rPr>
        <w:t>,2</w:t>
      </w:r>
      <w:proofErr w:type="gramEnd"/>
      <w:r>
        <w:rPr>
          <w:vertAlign w:val="superscript"/>
        </w:rPr>
        <w:t xml:space="preserve"> </w:t>
      </w:r>
    </w:p>
    <w:p w:rsidR="00E04676" w:rsidRDefault="00E04676" w:rsidP="00E04676">
      <w:pPr>
        <w:pStyle w:val="NoSpacing"/>
      </w:pPr>
      <w:proofErr w:type="spellStart"/>
      <w:r>
        <w:t>Nevio</w:t>
      </w:r>
      <w:proofErr w:type="spellEnd"/>
      <w:r>
        <w:t xml:space="preserve"> Sarmento</w:t>
      </w:r>
      <w:r>
        <w:rPr>
          <w:vertAlign w:val="superscript"/>
        </w:rPr>
        <w:t xml:space="preserve">1 </w:t>
      </w:r>
    </w:p>
    <w:p w:rsidR="00E04676" w:rsidRDefault="00E04676" w:rsidP="00E04676">
      <w:pPr>
        <w:pStyle w:val="NoSpacing"/>
      </w:pPr>
      <w:r>
        <w:t>Anthony D K Draper</w:t>
      </w:r>
      <w:r>
        <w:rPr>
          <w:vertAlign w:val="superscript"/>
        </w:rPr>
        <w:t>1</w:t>
      </w:r>
      <w:proofErr w:type="gramStart"/>
      <w:r>
        <w:rPr>
          <w:vertAlign w:val="superscript"/>
        </w:rPr>
        <w:t>,3</w:t>
      </w:r>
      <w:proofErr w:type="gramEnd"/>
      <w:r>
        <w:rPr>
          <w:vertAlign w:val="superscript"/>
        </w:rPr>
        <w:t xml:space="preserve"> </w:t>
      </w:r>
    </w:p>
    <w:p w:rsidR="00E04676" w:rsidRDefault="00E04676" w:rsidP="00E04676">
      <w:pPr>
        <w:pStyle w:val="NoSpacing"/>
      </w:pPr>
      <w:r>
        <w:t>Ian Marr</w:t>
      </w:r>
      <w:r>
        <w:rPr>
          <w:vertAlign w:val="superscript"/>
        </w:rPr>
        <w:t xml:space="preserve">1 </w:t>
      </w:r>
    </w:p>
    <w:p w:rsidR="00E04676" w:rsidRDefault="00E04676" w:rsidP="00E04676">
      <w:pPr>
        <w:pStyle w:val="NoSpacing"/>
      </w:pPr>
      <w:r>
        <w:t>Shawn Ting</w:t>
      </w:r>
      <w:r>
        <w:rPr>
          <w:vertAlign w:val="superscript"/>
        </w:rPr>
        <w:t xml:space="preserve">1 </w:t>
      </w:r>
    </w:p>
    <w:p w:rsidR="00E04676" w:rsidRDefault="00E04676" w:rsidP="00E04676">
      <w:pPr>
        <w:pStyle w:val="NoSpacing"/>
      </w:pPr>
      <w:r>
        <w:t>Nicholas Fancourt</w:t>
      </w:r>
      <w:r>
        <w:rPr>
          <w:vertAlign w:val="superscript"/>
        </w:rPr>
        <w:t>1</w:t>
      </w:r>
      <w:proofErr w:type="gramStart"/>
      <w:r>
        <w:rPr>
          <w:vertAlign w:val="superscript"/>
        </w:rPr>
        <w:t>,2</w:t>
      </w:r>
      <w:proofErr w:type="gramEnd"/>
      <w:r>
        <w:rPr>
          <w:vertAlign w:val="superscript"/>
        </w:rPr>
        <w:t xml:space="preserve"> </w:t>
      </w:r>
    </w:p>
    <w:p w:rsidR="00E04676" w:rsidRDefault="00E04676" w:rsidP="00E04676">
      <w:pPr>
        <w:pStyle w:val="NoSpacing"/>
      </w:pPr>
      <w:proofErr w:type="spellStart"/>
      <w:r>
        <w:t>Lucsendar</w:t>
      </w:r>
      <w:proofErr w:type="spellEnd"/>
      <w:r>
        <w:t xml:space="preserve"> Alves</w:t>
      </w:r>
      <w:r>
        <w:rPr>
          <w:vertAlign w:val="superscript"/>
        </w:rPr>
        <w:t xml:space="preserve">1 </w:t>
      </w:r>
    </w:p>
    <w:p w:rsidR="00E04676" w:rsidRDefault="00E04676" w:rsidP="00E04676">
      <w:pPr>
        <w:pStyle w:val="NoSpacing"/>
      </w:pPr>
      <w:r>
        <w:t>Karen Champlin</w:t>
      </w:r>
      <w:r>
        <w:rPr>
          <w:vertAlign w:val="superscript"/>
        </w:rPr>
        <w:t xml:space="preserve">1 </w:t>
      </w:r>
    </w:p>
    <w:p w:rsidR="00E04676" w:rsidRDefault="00E04676" w:rsidP="00E04676">
      <w:pPr>
        <w:pStyle w:val="NoSpacing"/>
      </w:pPr>
      <w:r>
        <w:t>Alexander Bongers</w:t>
      </w:r>
      <w:r>
        <w:rPr>
          <w:vertAlign w:val="superscript"/>
        </w:rPr>
        <w:t xml:space="preserve">1 </w:t>
      </w:r>
    </w:p>
    <w:p w:rsidR="00E04676" w:rsidRDefault="00E04676" w:rsidP="00E04676">
      <w:pPr>
        <w:pStyle w:val="NoSpacing"/>
      </w:pPr>
      <w:r>
        <w:t>Jennifer Yan</w:t>
      </w:r>
      <w:r>
        <w:rPr>
          <w:vertAlign w:val="superscript"/>
        </w:rPr>
        <w:t>1</w:t>
      </w:r>
      <w:proofErr w:type="gramStart"/>
      <w:r>
        <w:rPr>
          <w:vertAlign w:val="superscript"/>
        </w:rPr>
        <w:t>,2</w:t>
      </w:r>
      <w:proofErr w:type="gramEnd"/>
      <w:r>
        <w:rPr>
          <w:vertAlign w:val="superscript"/>
        </w:rPr>
        <w:t xml:space="preserve"> </w:t>
      </w:r>
    </w:p>
    <w:p w:rsidR="00E04676" w:rsidRDefault="00E04676" w:rsidP="00E04676">
      <w:pPr>
        <w:numPr>
          <w:ilvl w:val="0"/>
          <w:numId w:val="7"/>
        </w:numPr>
        <w:spacing w:before="100" w:beforeAutospacing="1" w:after="100" w:afterAutospacing="1" w:line="240" w:lineRule="auto"/>
        <w:rPr>
          <w:rFonts w:eastAsia="Times New Roman"/>
        </w:rPr>
      </w:pPr>
      <w:r>
        <w:rPr>
          <w:rFonts w:eastAsia="Times New Roman"/>
        </w:rPr>
        <w:t xml:space="preserve">Global and Tropical Health Division, Menzies School of Health Research, Darwin, Australia </w:t>
      </w:r>
    </w:p>
    <w:p w:rsidR="00E04676" w:rsidRDefault="00E04676" w:rsidP="00E04676">
      <w:pPr>
        <w:numPr>
          <w:ilvl w:val="0"/>
          <w:numId w:val="7"/>
        </w:numPr>
        <w:spacing w:before="100" w:beforeAutospacing="1" w:after="100" w:afterAutospacing="1" w:line="240" w:lineRule="auto"/>
        <w:rPr>
          <w:rFonts w:eastAsia="Times New Roman"/>
        </w:rPr>
      </w:pPr>
      <w:r>
        <w:rPr>
          <w:rFonts w:eastAsia="Times New Roman"/>
        </w:rPr>
        <w:t xml:space="preserve">Department of Paediatrics, Royal Darwin Hospital, Darwin, Australia </w:t>
      </w:r>
    </w:p>
    <w:p w:rsidR="00E04676" w:rsidRDefault="00E04676" w:rsidP="00E04676">
      <w:pPr>
        <w:numPr>
          <w:ilvl w:val="0"/>
          <w:numId w:val="7"/>
        </w:numPr>
        <w:spacing w:before="100" w:beforeAutospacing="1" w:after="100" w:afterAutospacing="1" w:line="240" w:lineRule="auto"/>
        <w:rPr>
          <w:rFonts w:eastAsia="Times New Roman"/>
        </w:rPr>
      </w:pPr>
      <w:r>
        <w:rPr>
          <w:rFonts w:eastAsia="Times New Roman"/>
        </w:rPr>
        <w:t xml:space="preserve">Centre for Disease Control, Top End Health Service, Darwin, Australia </w:t>
      </w:r>
    </w:p>
    <w:p w:rsidR="00BE1399" w:rsidRDefault="00BE1399">
      <w:pPr>
        <w:rPr>
          <w:rFonts w:asciiTheme="majorHAnsi" w:eastAsiaTheme="majorEastAsia" w:hAnsiTheme="majorHAnsi" w:cstheme="majorBidi"/>
          <w:b/>
          <w:bCs/>
          <w:sz w:val="26"/>
          <w:szCs w:val="26"/>
        </w:rPr>
      </w:pPr>
      <w:r>
        <w:br w:type="page"/>
      </w:r>
    </w:p>
    <w:p w:rsidR="00E04676" w:rsidRPr="00E04676" w:rsidRDefault="00E04676" w:rsidP="00E04676">
      <w:pPr>
        <w:pStyle w:val="Heading2"/>
      </w:pPr>
      <w:bookmarkStart w:id="0" w:name="_GoBack"/>
      <w:bookmarkEnd w:id="0"/>
      <w:r w:rsidRPr="00E04676">
        <w:t xml:space="preserve">Contributing author </w:t>
      </w:r>
    </w:p>
    <w:p w:rsidR="00E04676" w:rsidRDefault="00E04676" w:rsidP="00E04676">
      <w:pPr>
        <w:pStyle w:val="NoSpacing"/>
      </w:pPr>
      <w:r>
        <w:t xml:space="preserve">Dr Joshua Francis </w:t>
      </w:r>
    </w:p>
    <w:p w:rsidR="00E04676" w:rsidRDefault="00E04676" w:rsidP="00E04676">
      <w:pPr>
        <w:pStyle w:val="NoSpacing"/>
      </w:pPr>
      <w:r>
        <w:t xml:space="preserve">Global and Tropical Health Division, Menzies School of Health Research, Darwin, Australia </w:t>
      </w:r>
    </w:p>
    <w:p w:rsidR="00E04676" w:rsidRDefault="00E04676" w:rsidP="00E04676">
      <w:pPr>
        <w:pStyle w:val="NoSpacing"/>
      </w:pPr>
      <w:r>
        <w:lastRenderedPageBreak/>
        <w:t xml:space="preserve">Telephone: +61 8 892 28649 </w:t>
      </w:r>
    </w:p>
    <w:p w:rsidR="00E04676" w:rsidRDefault="007E5EF6" w:rsidP="00E04676">
      <w:pPr>
        <w:pStyle w:val="NoSpacing"/>
      </w:pPr>
      <w:r>
        <w:t>Email</w:t>
      </w:r>
      <w:r w:rsidR="00E04676">
        <w:t xml:space="preserve">: josh.francis@menzies.edu.au </w:t>
      </w:r>
    </w:p>
    <w:p w:rsidR="00E04676" w:rsidRPr="00E04676" w:rsidRDefault="00E04676" w:rsidP="00E04676">
      <w:pPr>
        <w:pStyle w:val="Heading1"/>
      </w:pPr>
      <w:r w:rsidRPr="00E04676">
        <w:t xml:space="preserve">References </w:t>
      </w:r>
    </w:p>
    <w:p w:rsidR="00E04676" w:rsidRDefault="00E04676" w:rsidP="00E04676">
      <w:pPr>
        <w:numPr>
          <w:ilvl w:val="0"/>
          <w:numId w:val="8"/>
        </w:numPr>
        <w:spacing w:before="100" w:beforeAutospacing="1" w:after="100" w:afterAutospacing="1" w:line="240" w:lineRule="auto"/>
        <w:rPr>
          <w:rFonts w:eastAsia="Times New Roman"/>
        </w:rPr>
      </w:pPr>
      <w:proofErr w:type="spellStart"/>
      <w:r>
        <w:rPr>
          <w:rFonts w:eastAsia="Times New Roman"/>
        </w:rPr>
        <w:t>Collignon</w:t>
      </w:r>
      <w:proofErr w:type="spellEnd"/>
      <w:r>
        <w:rPr>
          <w:rFonts w:eastAsia="Times New Roman"/>
        </w:rPr>
        <w:t xml:space="preserve"> P, </w:t>
      </w:r>
      <w:proofErr w:type="spellStart"/>
      <w:r>
        <w:rPr>
          <w:rFonts w:eastAsia="Times New Roman"/>
        </w:rPr>
        <w:t>Beggs</w:t>
      </w:r>
      <w:proofErr w:type="spellEnd"/>
      <w:r>
        <w:rPr>
          <w:rFonts w:eastAsia="Times New Roman"/>
        </w:rPr>
        <w:t xml:space="preserve"> JJ, Walsh TR, </w:t>
      </w:r>
      <w:proofErr w:type="spellStart"/>
      <w:r>
        <w:rPr>
          <w:rFonts w:eastAsia="Times New Roman"/>
        </w:rPr>
        <w:t>Gandra</w:t>
      </w:r>
      <w:proofErr w:type="spellEnd"/>
      <w:r>
        <w:rPr>
          <w:rFonts w:eastAsia="Times New Roman"/>
        </w:rPr>
        <w:t xml:space="preserve"> S, </w:t>
      </w:r>
      <w:proofErr w:type="spellStart"/>
      <w:r>
        <w:rPr>
          <w:rFonts w:eastAsia="Times New Roman"/>
        </w:rPr>
        <w:t>Laxminarayan</w:t>
      </w:r>
      <w:proofErr w:type="spellEnd"/>
      <w:r>
        <w:rPr>
          <w:rFonts w:eastAsia="Times New Roman"/>
        </w:rPr>
        <w:t xml:space="preserve"> R. Anthropological and socioeconomic factors contributing to global antimicrobial resistance: a univariate and multivariable analysis. </w:t>
      </w:r>
      <w:r w:rsidRPr="0060015C">
        <w:rPr>
          <w:rStyle w:val="Emphasis"/>
          <w:rFonts w:eastAsia="Times New Roman"/>
          <w:b w:val="0"/>
        </w:rPr>
        <w:t>Lancet Planet Health</w:t>
      </w:r>
      <w:r>
        <w:rPr>
          <w:rFonts w:eastAsia="Times New Roman"/>
        </w:rPr>
        <w:t>. 2018</w:t>
      </w:r>
      <w:proofErr w:type="gramStart"/>
      <w:r>
        <w:rPr>
          <w:rFonts w:eastAsia="Times New Roman"/>
        </w:rPr>
        <w:t>;2</w:t>
      </w:r>
      <w:proofErr w:type="gramEnd"/>
      <w:r>
        <w:rPr>
          <w:rFonts w:eastAsia="Times New Roman"/>
        </w:rPr>
        <w:t xml:space="preserve">(9):e398–405. </w:t>
      </w:r>
    </w:p>
    <w:p w:rsidR="00E04676" w:rsidRDefault="00E04676" w:rsidP="00E04676">
      <w:pPr>
        <w:numPr>
          <w:ilvl w:val="0"/>
          <w:numId w:val="8"/>
        </w:numPr>
        <w:spacing w:before="100" w:beforeAutospacing="1" w:after="100" w:afterAutospacing="1" w:line="240" w:lineRule="auto"/>
        <w:rPr>
          <w:rFonts w:eastAsia="Times New Roman"/>
        </w:rPr>
      </w:pPr>
      <w:r>
        <w:rPr>
          <w:rFonts w:eastAsia="Times New Roman"/>
        </w:rPr>
        <w:t xml:space="preserve">Van </w:t>
      </w:r>
      <w:proofErr w:type="spellStart"/>
      <w:r>
        <w:rPr>
          <w:rFonts w:eastAsia="Times New Roman"/>
        </w:rPr>
        <w:t>Boeckel</w:t>
      </w:r>
      <w:proofErr w:type="spellEnd"/>
      <w:r>
        <w:rPr>
          <w:rFonts w:eastAsia="Times New Roman"/>
        </w:rPr>
        <w:t xml:space="preserve"> TP, </w:t>
      </w:r>
      <w:proofErr w:type="spellStart"/>
      <w:r>
        <w:rPr>
          <w:rFonts w:eastAsia="Times New Roman"/>
        </w:rPr>
        <w:t>Pires</w:t>
      </w:r>
      <w:proofErr w:type="spellEnd"/>
      <w:r>
        <w:rPr>
          <w:rFonts w:eastAsia="Times New Roman"/>
        </w:rPr>
        <w:t xml:space="preserve"> J, </w:t>
      </w:r>
      <w:proofErr w:type="spellStart"/>
      <w:r>
        <w:rPr>
          <w:rFonts w:eastAsia="Times New Roman"/>
        </w:rPr>
        <w:t>Silvester</w:t>
      </w:r>
      <w:proofErr w:type="spellEnd"/>
      <w:r>
        <w:rPr>
          <w:rFonts w:eastAsia="Times New Roman"/>
        </w:rPr>
        <w:t xml:space="preserve"> R, Zhao C, Song J, </w:t>
      </w:r>
      <w:proofErr w:type="spellStart"/>
      <w:r>
        <w:rPr>
          <w:rFonts w:eastAsia="Times New Roman"/>
        </w:rPr>
        <w:t>Criscuolo</w:t>
      </w:r>
      <w:proofErr w:type="spellEnd"/>
      <w:r>
        <w:rPr>
          <w:rFonts w:eastAsia="Times New Roman"/>
        </w:rPr>
        <w:t xml:space="preserve"> NG et al. Global trends in antimicrobial resistance in animals in low- and middle-income countries. </w:t>
      </w:r>
      <w:r w:rsidRPr="0060015C">
        <w:rPr>
          <w:rStyle w:val="Emphasis"/>
          <w:rFonts w:eastAsia="Times New Roman"/>
          <w:b w:val="0"/>
        </w:rPr>
        <w:t>Science</w:t>
      </w:r>
      <w:r>
        <w:rPr>
          <w:rFonts w:eastAsia="Times New Roman"/>
        </w:rPr>
        <w:t>. 2019</w:t>
      </w:r>
      <w:proofErr w:type="gramStart"/>
      <w:r>
        <w:rPr>
          <w:rFonts w:eastAsia="Times New Roman"/>
        </w:rPr>
        <w:t>;365</w:t>
      </w:r>
      <w:proofErr w:type="gramEnd"/>
      <w:r>
        <w:rPr>
          <w:rFonts w:eastAsia="Times New Roman"/>
        </w:rPr>
        <w:t xml:space="preserve">(6459). </w:t>
      </w:r>
      <w:proofErr w:type="spellStart"/>
      <w:proofErr w:type="gramStart"/>
      <w:r>
        <w:rPr>
          <w:rFonts w:eastAsia="Times New Roman"/>
        </w:rPr>
        <w:t>pii</w:t>
      </w:r>
      <w:proofErr w:type="spellEnd"/>
      <w:proofErr w:type="gramEnd"/>
      <w:r>
        <w:rPr>
          <w:rFonts w:eastAsia="Times New Roman"/>
        </w:rPr>
        <w:t xml:space="preserve">: eaaw1944. </w:t>
      </w:r>
    </w:p>
    <w:p w:rsidR="00E04676" w:rsidRDefault="00E04676" w:rsidP="00E04676">
      <w:pPr>
        <w:numPr>
          <w:ilvl w:val="0"/>
          <w:numId w:val="8"/>
        </w:numPr>
        <w:spacing w:before="100" w:beforeAutospacing="1" w:after="100" w:afterAutospacing="1" w:line="240" w:lineRule="auto"/>
        <w:rPr>
          <w:rFonts w:eastAsia="Times New Roman"/>
        </w:rPr>
      </w:pPr>
      <w:r>
        <w:rPr>
          <w:rFonts w:eastAsia="Times New Roman"/>
        </w:rPr>
        <w:t xml:space="preserve">Singh PK. One Health approach to tackle antimicrobial resistance in South East Asia. </w:t>
      </w:r>
      <w:r w:rsidRPr="0060015C">
        <w:rPr>
          <w:rStyle w:val="Emphasis"/>
          <w:rFonts w:eastAsia="Times New Roman"/>
          <w:b w:val="0"/>
        </w:rPr>
        <w:t>BMJ</w:t>
      </w:r>
      <w:r>
        <w:rPr>
          <w:rFonts w:eastAsia="Times New Roman"/>
        </w:rPr>
        <w:t>. 2017</w:t>
      </w:r>
      <w:proofErr w:type="gramStart"/>
      <w:r>
        <w:rPr>
          <w:rFonts w:eastAsia="Times New Roman"/>
        </w:rPr>
        <w:t>;358:j3625</w:t>
      </w:r>
      <w:proofErr w:type="gramEnd"/>
      <w:r>
        <w:rPr>
          <w:rFonts w:eastAsia="Times New Roman"/>
        </w:rPr>
        <w:t xml:space="preserve">. </w:t>
      </w:r>
    </w:p>
    <w:p w:rsidR="00E04676" w:rsidRDefault="00E04676" w:rsidP="00E04676">
      <w:pPr>
        <w:numPr>
          <w:ilvl w:val="0"/>
          <w:numId w:val="8"/>
        </w:numPr>
        <w:spacing w:before="100" w:beforeAutospacing="1" w:after="100" w:afterAutospacing="1" w:line="240" w:lineRule="auto"/>
        <w:rPr>
          <w:rFonts w:eastAsia="Times New Roman"/>
        </w:rPr>
      </w:pPr>
      <w:r>
        <w:rPr>
          <w:rFonts w:eastAsia="Times New Roman"/>
        </w:rPr>
        <w:t xml:space="preserve">Zellweger RM, </w:t>
      </w:r>
      <w:proofErr w:type="spellStart"/>
      <w:r>
        <w:rPr>
          <w:rFonts w:eastAsia="Times New Roman"/>
        </w:rPr>
        <w:t>Carrique</w:t>
      </w:r>
      <w:proofErr w:type="spellEnd"/>
      <w:r>
        <w:rPr>
          <w:rFonts w:eastAsia="Times New Roman"/>
        </w:rPr>
        <w:t xml:space="preserve">-Mas J, </w:t>
      </w:r>
      <w:proofErr w:type="spellStart"/>
      <w:r>
        <w:rPr>
          <w:rFonts w:eastAsia="Times New Roman"/>
        </w:rPr>
        <w:t>Limmathurotsakul</w:t>
      </w:r>
      <w:proofErr w:type="spellEnd"/>
      <w:r>
        <w:rPr>
          <w:rFonts w:eastAsia="Times New Roman"/>
        </w:rPr>
        <w:t xml:space="preserve"> D, Day NPJ, </w:t>
      </w:r>
      <w:proofErr w:type="spellStart"/>
      <w:r>
        <w:rPr>
          <w:rFonts w:eastAsia="Times New Roman"/>
        </w:rPr>
        <w:t>Thwaites</w:t>
      </w:r>
      <w:proofErr w:type="spellEnd"/>
      <w:r>
        <w:rPr>
          <w:rFonts w:eastAsia="Times New Roman"/>
        </w:rPr>
        <w:t xml:space="preserve"> GE, Baker S. A current perspective on antimicrobial resistance in Southeast Asia. </w:t>
      </w:r>
      <w:r w:rsidRPr="0060015C">
        <w:rPr>
          <w:rStyle w:val="Emphasis"/>
          <w:rFonts w:eastAsia="Times New Roman"/>
          <w:b w:val="0"/>
        </w:rPr>
        <w:t xml:space="preserve">J </w:t>
      </w:r>
      <w:proofErr w:type="spellStart"/>
      <w:r w:rsidRPr="0060015C">
        <w:rPr>
          <w:rStyle w:val="Emphasis"/>
          <w:rFonts w:eastAsia="Times New Roman"/>
          <w:b w:val="0"/>
        </w:rPr>
        <w:t>Antimicrob</w:t>
      </w:r>
      <w:proofErr w:type="spellEnd"/>
      <w:r w:rsidRPr="0060015C">
        <w:rPr>
          <w:rStyle w:val="Emphasis"/>
          <w:rFonts w:eastAsia="Times New Roman"/>
          <w:b w:val="0"/>
        </w:rPr>
        <w:t xml:space="preserve"> </w:t>
      </w:r>
      <w:proofErr w:type="spellStart"/>
      <w:r w:rsidRPr="0060015C">
        <w:rPr>
          <w:rStyle w:val="Emphasis"/>
          <w:rFonts w:eastAsia="Times New Roman"/>
          <w:b w:val="0"/>
        </w:rPr>
        <w:t>Chemother</w:t>
      </w:r>
      <w:proofErr w:type="spellEnd"/>
      <w:r>
        <w:rPr>
          <w:rFonts w:eastAsia="Times New Roman"/>
        </w:rPr>
        <w:t>. 2017</w:t>
      </w:r>
      <w:proofErr w:type="gramStart"/>
      <w:r>
        <w:rPr>
          <w:rFonts w:eastAsia="Times New Roman"/>
        </w:rPr>
        <w:t>;72</w:t>
      </w:r>
      <w:proofErr w:type="gramEnd"/>
      <w:r>
        <w:rPr>
          <w:rFonts w:eastAsia="Times New Roman"/>
        </w:rPr>
        <w:t xml:space="preserve">(11):2963–72. </w:t>
      </w:r>
    </w:p>
    <w:p w:rsidR="00E04676" w:rsidRDefault="00E04676" w:rsidP="00E04676">
      <w:pPr>
        <w:numPr>
          <w:ilvl w:val="0"/>
          <w:numId w:val="8"/>
        </w:numPr>
        <w:spacing w:before="100" w:beforeAutospacing="1" w:after="100" w:afterAutospacing="1" w:line="240" w:lineRule="auto"/>
        <w:rPr>
          <w:rFonts w:eastAsia="Times New Roman"/>
        </w:rPr>
      </w:pPr>
      <w:proofErr w:type="spellStart"/>
      <w:r>
        <w:rPr>
          <w:rFonts w:eastAsia="Times New Roman"/>
        </w:rPr>
        <w:t>Tebano</w:t>
      </w:r>
      <w:proofErr w:type="spellEnd"/>
      <w:r>
        <w:rPr>
          <w:rFonts w:eastAsia="Times New Roman"/>
        </w:rPr>
        <w:t xml:space="preserve"> G, la </w:t>
      </w:r>
      <w:proofErr w:type="spellStart"/>
      <w:r>
        <w:rPr>
          <w:rFonts w:eastAsia="Times New Roman"/>
        </w:rPr>
        <w:t>Martire</w:t>
      </w:r>
      <w:proofErr w:type="spellEnd"/>
      <w:r>
        <w:rPr>
          <w:rFonts w:eastAsia="Times New Roman"/>
        </w:rPr>
        <w:t xml:space="preserve"> G, </w:t>
      </w:r>
      <w:proofErr w:type="spellStart"/>
      <w:r>
        <w:rPr>
          <w:rFonts w:eastAsia="Times New Roman"/>
        </w:rPr>
        <w:t>Sarmento</w:t>
      </w:r>
      <w:proofErr w:type="spellEnd"/>
      <w:r>
        <w:rPr>
          <w:rFonts w:eastAsia="Times New Roman"/>
        </w:rPr>
        <w:t xml:space="preserve"> N, Francis JR. Antibiotic resistance in Timor-Leste: A systematic review of evidence. </w:t>
      </w:r>
      <w:r w:rsidRPr="0060015C">
        <w:rPr>
          <w:rStyle w:val="Emphasis"/>
          <w:rFonts w:eastAsia="Times New Roman"/>
          <w:b w:val="0"/>
        </w:rPr>
        <w:t xml:space="preserve">J </w:t>
      </w:r>
      <w:proofErr w:type="spellStart"/>
      <w:r w:rsidRPr="0060015C">
        <w:rPr>
          <w:rStyle w:val="Emphasis"/>
          <w:rFonts w:eastAsia="Times New Roman"/>
          <w:b w:val="0"/>
        </w:rPr>
        <w:t>Antimicrob</w:t>
      </w:r>
      <w:proofErr w:type="spellEnd"/>
      <w:r w:rsidRPr="0060015C">
        <w:rPr>
          <w:rStyle w:val="Emphasis"/>
          <w:rFonts w:eastAsia="Times New Roman"/>
          <w:b w:val="0"/>
        </w:rPr>
        <w:t xml:space="preserve"> </w:t>
      </w:r>
      <w:proofErr w:type="spellStart"/>
      <w:r w:rsidRPr="0060015C">
        <w:rPr>
          <w:rStyle w:val="Emphasis"/>
          <w:rFonts w:eastAsia="Times New Roman"/>
          <w:b w:val="0"/>
        </w:rPr>
        <w:t>Chemother</w:t>
      </w:r>
      <w:proofErr w:type="spellEnd"/>
      <w:r>
        <w:rPr>
          <w:rFonts w:eastAsia="Times New Roman"/>
        </w:rPr>
        <w:t>. 2018</w:t>
      </w:r>
      <w:proofErr w:type="gramStart"/>
      <w:r>
        <w:rPr>
          <w:rFonts w:eastAsia="Times New Roman"/>
        </w:rPr>
        <w:t>;73</w:t>
      </w:r>
      <w:proofErr w:type="gramEnd"/>
      <w:r>
        <w:rPr>
          <w:rFonts w:eastAsia="Times New Roman"/>
        </w:rPr>
        <w:t xml:space="preserve">(4):1110–1. </w:t>
      </w:r>
    </w:p>
    <w:p w:rsidR="00E04676" w:rsidRDefault="00E04676" w:rsidP="00E04676">
      <w:pPr>
        <w:numPr>
          <w:ilvl w:val="0"/>
          <w:numId w:val="8"/>
        </w:numPr>
        <w:spacing w:before="100" w:beforeAutospacing="1" w:after="100" w:afterAutospacing="1" w:line="240" w:lineRule="auto"/>
        <w:rPr>
          <w:rFonts w:eastAsia="Times New Roman"/>
        </w:rPr>
      </w:pPr>
      <w:r>
        <w:rPr>
          <w:rFonts w:eastAsia="Times New Roman"/>
        </w:rPr>
        <w:t xml:space="preserve">Marr I, </w:t>
      </w:r>
      <w:proofErr w:type="spellStart"/>
      <w:r>
        <w:rPr>
          <w:rFonts w:eastAsia="Times New Roman"/>
        </w:rPr>
        <w:t>Sarmento</w:t>
      </w:r>
      <w:proofErr w:type="spellEnd"/>
      <w:r>
        <w:rPr>
          <w:rFonts w:eastAsia="Times New Roman"/>
        </w:rPr>
        <w:t xml:space="preserve"> N, O’Brien M, Lee K, </w:t>
      </w:r>
      <w:proofErr w:type="spellStart"/>
      <w:r>
        <w:rPr>
          <w:rFonts w:eastAsia="Times New Roman"/>
        </w:rPr>
        <w:t>Gusmao</w:t>
      </w:r>
      <w:proofErr w:type="spellEnd"/>
      <w:r>
        <w:rPr>
          <w:rFonts w:eastAsia="Times New Roman"/>
        </w:rPr>
        <w:t xml:space="preserve"> C, de Castro G et al. Antimicrobial resistance in urine and skin isolates in Timor-Leste. </w:t>
      </w:r>
      <w:r w:rsidRPr="0060015C">
        <w:rPr>
          <w:rStyle w:val="Emphasis"/>
          <w:rFonts w:eastAsia="Times New Roman"/>
          <w:b w:val="0"/>
        </w:rPr>
        <w:t xml:space="preserve">J Glob </w:t>
      </w:r>
      <w:proofErr w:type="spellStart"/>
      <w:r w:rsidRPr="0060015C">
        <w:rPr>
          <w:rStyle w:val="Emphasis"/>
          <w:rFonts w:eastAsia="Times New Roman"/>
          <w:b w:val="0"/>
        </w:rPr>
        <w:t>Antimicrob</w:t>
      </w:r>
      <w:proofErr w:type="spellEnd"/>
      <w:r w:rsidRPr="0060015C">
        <w:rPr>
          <w:rStyle w:val="Emphasis"/>
          <w:rFonts w:eastAsia="Times New Roman"/>
          <w:b w:val="0"/>
        </w:rPr>
        <w:t xml:space="preserve"> Resist</w:t>
      </w:r>
      <w:r>
        <w:rPr>
          <w:rFonts w:eastAsia="Times New Roman"/>
        </w:rPr>
        <w:t>. 2018</w:t>
      </w:r>
      <w:proofErr w:type="gramStart"/>
      <w:r>
        <w:rPr>
          <w:rFonts w:eastAsia="Times New Roman"/>
        </w:rPr>
        <w:t>;13:135</w:t>
      </w:r>
      <w:proofErr w:type="gramEnd"/>
      <w:r>
        <w:rPr>
          <w:rFonts w:eastAsia="Times New Roman"/>
        </w:rPr>
        <w:t xml:space="preserve">–8. </w:t>
      </w:r>
    </w:p>
    <w:p w:rsidR="008B5348" w:rsidRDefault="00E04676" w:rsidP="008E3FDE">
      <w:pPr>
        <w:numPr>
          <w:ilvl w:val="0"/>
          <w:numId w:val="8"/>
        </w:numPr>
        <w:spacing w:before="100" w:beforeAutospacing="1" w:after="100" w:afterAutospacing="1" w:line="240" w:lineRule="auto"/>
        <w:rPr>
          <w:rStyle w:val="A10"/>
        </w:rPr>
      </w:pPr>
      <w:r w:rsidRPr="008E3FDE">
        <w:rPr>
          <w:rFonts w:eastAsia="Times New Roman"/>
        </w:rPr>
        <w:t xml:space="preserve">Draper ADK, Francis JR. Surveillance Training, Research Opportunities, National Guidelines for Timor-Leste (STRONG TL). </w:t>
      </w:r>
      <w:r w:rsidRPr="008E3FDE">
        <w:rPr>
          <w:rStyle w:val="Emphasis"/>
          <w:rFonts w:eastAsia="Times New Roman"/>
          <w:b w:val="0"/>
        </w:rPr>
        <w:t>N T Dis Control Bull</w:t>
      </w:r>
      <w:r w:rsidRPr="008E3FDE">
        <w:rPr>
          <w:rFonts w:eastAsia="Times New Roman"/>
        </w:rPr>
        <w:t>. 2018</w:t>
      </w:r>
      <w:proofErr w:type="gramStart"/>
      <w:r w:rsidRPr="008E3FDE">
        <w:rPr>
          <w:rFonts w:eastAsia="Times New Roman"/>
        </w:rPr>
        <w:t>;25</w:t>
      </w:r>
      <w:proofErr w:type="gramEnd"/>
      <w:r w:rsidRPr="008E3FDE">
        <w:rPr>
          <w:rFonts w:eastAsia="Times New Roman"/>
        </w:rPr>
        <w:t>(4):24–5.</w:t>
      </w:r>
      <w:r w:rsidR="008B5348">
        <w:rPr>
          <w:rStyle w:val="A10"/>
        </w:rPr>
        <w:br w:type="page"/>
      </w:r>
    </w:p>
    <w:p w:rsidR="008B5348" w:rsidRDefault="008B5348">
      <w:pPr>
        <w:rPr>
          <w:rStyle w:val="A10"/>
        </w:rPr>
        <w:sectPr w:rsidR="008B5348" w:rsidSect="00A30C37">
          <w:headerReference w:type="default" r:id="rId10"/>
          <w:footerReference w:type="default" r:id="rId11"/>
          <w:footerReference w:type="first" r:id="rId12"/>
          <w:pgSz w:w="11906" w:h="16838"/>
          <w:pgMar w:top="720" w:right="720" w:bottom="1134" w:left="720" w:header="709" w:footer="284" w:gutter="0"/>
          <w:cols w:space="708"/>
          <w:titlePg/>
          <w:docGrid w:linePitch="360"/>
        </w:sectPr>
      </w:pPr>
    </w:p>
    <w:p w:rsidR="000A5F42" w:rsidRPr="000606CC" w:rsidRDefault="000A5F42" w:rsidP="000A5F42">
      <w:pPr>
        <w:pStyle w:val="NoSpacing"/>
        <w:rPr>
          <w:rFonts w:cstheme="minorHAnsi"/>
          <w:sz w:val="18"/>
          <w:szCs w:val="18"/>
        </w:rPr>
      </w:pPr>
      <w:r w:rsidRPr="000606CC">
        <w:rPr>
          <w:rStyle w:val="Strong"/>
          <w:bCs w:val="0"/>
          <w:sz w:val="20"/>
        </w:rPr>
        <w:lastRenderedPageBreak/>
        <w:t>Communicable Diseases Intelligence</w:t>
      </w:r>
    </w:p>
    <w:p w:rsidR="000A5F42" w:rsidRPr="000606CC" w:rsidRDefault="000A5F42" w:rsidP="000A5F42">
      <w:pPr>
        <w:pStyle w:val="NoSpacing"/>
        <w:rPr>
          <w:rFonts w:cstheme="minorHAnsi"/>
          <w:sz w:val="20"/>
          <w:szCs w:val="18"/>
        </w:rPr>
      </w:pPr>
      <w:r w:rsidRPr="000606CC">
        <w:rPr>
          <w:rFonts w:cstheme="minorHAnsi"/>
          <w:sz w:val="20"/>
          <w:szCs w:val="18"/>
        </w:rPr>
        <w:t>ISSN: 2209-6051 Online</w:t>
      </w:r>
    </w:p>
    <w:p w:rsidR="000A5F42" w:rsidRPr="000606CC" w:rsidRDefault="000A5F42" w:rsidP="000A5F42">
      <w:pPr>
        <w:pStyle w:val="NoSpacing"/>
        <w:rPr>
          <w:rStyle w:val="URI"/>
          <w:rFonts w:cstheme="minorHAnsi"/>
          <w:sz w:val="20"/>
          <w:szCs w:val="18"/>
        </w:rPr>
      </w:pPr>
    </w:p>
    <w:p w:rsidR="000A5F42" w:rsidRPr="000606CC" w:rsidRDefault="000A5F42" w:rsidP="000A5F42">
      <w:pPr>
        <w:pStyle w:val="NoSpacing"/>
        <w:rPr>
          <w:rStyle w:val="Strong"/>
          <w:rFonts w:cs="Calibri"/>
          <w:sz w:val="20"/>
          <w:szCs w:val="18"/>
        </w:rPr>
      </w:pPr>
      <w:r w:rsidRPr="000606CC">
        <w:rPr>
          <w:rStyle w:val="Strong"/>
          <w:rFonts w:cs="Calibri"/>
          <w:b w:val="0"/>
          <w:bCs w:val="0"/>
          <w:sz w:val="20"/>
          <w:szCs w:val="18"/>
        </w:rPr>
        <w:t>Communicable Diseases Intelligence (CDI) is a peer-reviewed scientific journal published by the Office of Health Protection, Department of Health. The journal aims to disseminate information on the epidemiology, surveillance, prevention and control of communicable diseases of relevance to Australia.</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Editor: </w:t>
      </w:r>
      <w:r w:rsidRPr="000606CC">
        <w:rPr>
          <w:rFonts w:cstheme="minorHAnsi"/>
          <w:sz w:val="20"/>
          <w:szCs w:val="18"/>
        </w:rPr>
        <w:t>Cindy Toms</w:t>
      </w:r>
    </w:p>
    <w:p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Deputy Editor: </w:t>
      </w:r>
      <w:r w:rsidR="00C838F5" w:rsidRPr="00C838F5">
        <w:rPr>
          <w:rFonts w:cstheme="minorHAnsi"/>
          <w:sz w:val="20"/>
          <w:szCs w:val="18"/>
        </w:rPr>
        <w:t>Simon Petrie</w:t>
      </w:r>
    </w:p>
    <w:p w:rsidR="000A5F42" w:rsidRPr="000606CC" w:rsidRDefault="00967410" w:rsidP="000A5F42">
      <w:pPr>
        <w:pStyle w:val="NoSpacing"/>
        <w:rPr>
          <w:rFonts w:cstheme="minorHAnsi"/>
          <w:sz w:val="20"/>
          <w:szCs w:val="18"/>
        </w:rPr>
      </w:pPr>
      <w:r>
        <w:rPr>
          <w:rStyle w:val="Strong"/>
          <w:rFonts w:cstheme="minorHAnsi"/>
          <w:sz w:val="20"/>
          <w:szCs w:val="18"/>
        </w:rPr>
        <w:t>Design</w:t>
      </w:r>
      <w:r w:rsidR="000A5F42" w:rsidRPr="000606CC">
        <w:rPr>
          <w:rStyle w:val="Strong"/>
          <w:rFonts w:cstheme="minorHAnsi"/>
          <w:sz w:val="20"/>
          <w:szCs w:val="18"/>
        </w:rPr>
        <w:t xml:space="preserve"> and Production: </w:t>
      </w:r>
      <w:r w:rsidR="000A5F42" w:rsidRPr="000606CC">
        <w:rPr>
          <w:rFonts w:cstheme="minorHAnsi"/>
          <w:sz w:val="20"/>
          <w:szCs w:val="18"/>
        </w:rPr>
        <w:t>Kasra Yousefi</w:t>
      </w:r>
    </w:p>
    <w:p w:rsidR="000A5F42" w:rsidRPr="000606CC" w:rsidRDefault="000A5F42" w:rsidP="000A5F42">
      <w:pPr>
        <w:pStyle w:val="NoSpacing"/>
        <w:rPr>
          <w:rFonts w:cstheme="minorHAnsi"/>
          <w:b/>
          <w:bCs/>
          <w:sz w:val="20"/>
          <w:szCs w:val="18"/>
        </w:rPr>
      </w:pPr>
      <w:r w:rsidRPr="000606CC">
        <w:rPr>
          <w:rStyle w:val="Strong"/>
          <w:rFonts w:cstheme="minorHAnsi"/>
          <w:sz w:val="20"/>
          <w:szCs w:val="18"/>
        </w:rPr>
        <w:t xml:space="preserve">Editorial Advisory Board: </w:t>
      </w:r>
      <w:r w:rsidRPr="000606CC">
        <w:rPr>
          <w:rFonts w:cstheme="minorHAnsi"/>
          <w:sz w:val="20"/>
          <w:szCs w:val="18"/>
        </w:rPr>
        <w:t xml:space="preserve">David Durrheim, </w:t>
      </w:r>
      <w:r w:rsidRPr="000606CC">
        <w:rPr>
          <w:rStyle w:val="nobreak"/>
          <w:rFonts w:cstheme="minorHAnsi"/>
          <w:sz w:val="20"/>
          <w:szCs w:val="18"/>
        </w:rPr>
        <w:t>Mark Ferson</w:t>
      </w:r>
      <w:r w:rsidR="00F55648">
        <w:rPr>
          <w:rFonts w:cstheme="minorHAnsi"/>
          <w:sz w:val="20"/>
          <w:szCs w:val="18"/>
        </w:rPr>
        <w:t>, John </w:t>
      </w:r>
      <w:proofErr w:type="spellStart"/>
      <w:r w:rsidR="00F55648">
        <w:rPr>
          <w:rFonts w:cstheme="minorHAnsi"/>
          <w:sz w:val="20"/>
          <w:szCs w:val="18"/>
        </w:rPr>
        <w:t>Kaldor</w:t>
      </w:r>
      <w:proofErr w:type="spellEnd"/>
      <w:r w:rsidR="00F55648">
        <w:rPr>
          <w:rFonts w:cstheme="minorHAnsi"/>
          <w:sz w:val="20"/>
          <w:szCs w:val="18"/>
        </w:rPr>
        <w:t xml:space="preserve">, </w:t>
      </w:r>
      <w:r w:rsidRPr="000606CC">
        <w:rPr>
          <w:rStyle w:val="nobreak"/>
          <w:rFonts w:cstheme="minorHAnsi"/>
          <w:sz w:val="20"/>
          <w:szCs w:val="18"/>
        </w:rPr>
        <w:t>Martyn Kirk</w:t>
      </w:r>
      <w:r w:rsidR="00F55648">
        <w:rPr>
          <w:rStyle w:val="nobreak"/>
          <w:rFonts w:cstheme="minorHAnsi"/>
          <w:sz w:val="20"/>
          <w:szCs w:val="18"/>
        </w:rPr>
        <w:t xml:space="preserve"> and Linda Selvey</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Website</w:t>
      </w:r>
      <w:r w:rsidRPr="000606CC">
        <w:rPr>
          <w:rFonts w:cstheme="minorHAnsi"/>
          <w:sz w:val="20"/>
          <w:szCs w:val="18"/>
        </w:rPr>
        <w:t xml:space="preserve">: </w:t>
      </w:r>
      <w:hyperlink r:id="rId13" w:tooltip="CDI website" w:history="1">
        <w:r w:rsidRPr="000606CC">
          <w:rPr>
            <w:rStyle w:val="Hyperlink"/>
            <w:rFonts w:cstheme="minorHAnsi"/>
            <w:sz w:val="20"/>
            <w:szCs w:val="18"/>
          </w:rPr>
          <w:t>http://www.health.gov.au/cdi</w:t>
        </w:r>
      </w:hyperlink>
      <w:r w:rsidRPr="000606CC">
        <w:rPr>
          <w:rStyle w:val="URI"/>
          <w:rFonts w:cstheme="minorHAnsi"/>
          <w:sz w:val="20"/>
          <w:szCs w:val="18"/>
        </w:rPr>
        <w:t xml:space="preserve"> </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Fonts w:cstheme="minorHAnsi"/>
          <w:sz w:val="20"/>
          <w:szCs w:val="18"/>
        </w:rPr>
      </w:pPr>
      <w:r w:rsidRPr="000606CC">
        <w:rPr>
          <w:rStyle w:val="Strong"/>
          <w:rFonts w:cstheme="minorHAnsi"/>
          <w:sz w:val="20"/>
          <w:szCs w:val="18"/>
        </w:rPr>
        <w:t>Contacts</w:t>
      </w:r>
      <w:r w:rsidRPr="000606CC">
        <w:rPr>
          <w:rStyle w:val="Strong"/>
          <w:rFonts w:cstheme="minorHAnsi"/>
          <w:sz w:val="20"/>
          <w:szCs w:val="18"/>
        </w:rPr>
        <w:br/>
      </w:r>
      <w:r w:rsidRPr="000606CC">
        <w:rPr>
          <w:rFonts w:cstheme="minorHAnsi"/>
          <w:sz w:val="20"/>
          <w:szCs w:val="18"/>
        </w:rPr>
        <w:t xml:space="preserve">Communicable Diseases Intelligence is produced by: </w:t>
      </w:r>
      <w:r w:rsidRPr="000606CC">
        <w:rPr>
          <w:rFonts w:cstheme="minorHAnsi"/>
          <w:sz w:val="20"/>
          <w:szCs w:val="18"/>
        </w:rPr>
        <w:br/>
        <w:t>Health Protection Policy Branch, Office of Health Protection, Australian Government Department of Health</w:t>
      </w:r>
      <w:r w:rsidRPr="000606CC">
        <w:rPr>
          <w:rFonts w:cstheme="minorHAnsi"/>
          <w:sz w:val="20"/>
          <w:szCs w:val="18"/>
        </w:rPr>
        <w:br/>
        <w:t xml:space="preserve">GPO Box 9848, </w:t>
      </w:r>
      <w:proofErr w:type="gramStart"/>
      <w:r w:rsidRPr="000606CC">
        <w:rPr>
          <w:rFonts w:cstheme="minorHAnsi"/>
          <w:sz w:val="20"/>
          <w:szCs w:val="18"/>
        </w:rPr>
        <w:t>(</w:t>
      </w:r>
      <w:proofErr w:type="gramEnd"/>
      <w:r w:rsidRPr="000606CC">
        <w:rPr>
          <w:rFonts w:cstheme="minorHAnsi"/>
          <w:sz w:val="20"/>
          <w:szCs w:val="18"/>
        </w:rPr>
        <w:t>MDP 6) CANBERRA ACT 2601</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 xml:space="preserve">Email: </w:t>
      </w:r>
      <w:hyperlink r:id="rId14" w:history="1">
        <w:r w:rsidRPr="000606CC">
          <w:rPr>
            <w:rStyle w:val="Hyperlink"/>
            <w:rFonts w:cstheme="minorHAnsi"/>
            <w:sz w:val="20"/>
            <w:szCs w:val="18"/>
          </w:rPr>
          <w:t>cdi.editor@health.gov.au</w:t>
        </w:r>
      </w:hyperlink>
      <w:r w:rsidRPr="000606CC">
        <w:rPr>
          <w:rStyle w:val="URI"/>
          <w:rFonts w:cstheme="minorHAnsi"/>
          <w:sz w:val="20"/>
          <w:szCs w:val="18"/>
        </w:rPr>
        <w:t xml:space="preserve"> </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Fonts w:cstheme="minorHAnsi"/>
          <w:sz w:val="20"/>
          <w:szCs w:val="18"/>
        </w:rPr>
      </w:pPr>
      <w:r w:rsidRPr="000606CC">
        <w:rPr>
          <w:rStyle w:val="Strong"/>
          <w:rFonts w:cstheme="minorHAnsi"/>
          <w:sz w:val="20"/>
          <w:szCs w:val="18"/>
        </w:rPr>
        <w:t>Submit an Article</w:t>
      </w:r>
      <w:r w:rsidRPr="000606CC">
        <w:rPr>
          <w:rStyle w:val="Strong"/>
          <w:rFonts w:cstheme="minorHAnsi"/>
          <w:sz w:val="20"/>
          <w:szCs w:val="18"/>
        </w:rPr>
        <w:br/>
      </w:r>
      <w:proofErr w:type="gramStart"/>
      <w:r w:rsidRPr="000606CC">
        <w:rPr>
          <w:rFonts w:cstheme="minorHAnsi"/>
          <w:sz w:val="20"/>
          <w:szCs w:val="18"/>
        </w:rPr>
        <w:t>You</w:t>
      </w:r>
      <w:proofErr w:type="gramEnd"/>
      <w:r w:rsidRPr="000606CC">
        <w:rPr>
          <w:rFonts w:cstheme="minorHAnsi"/>
          <w:sz w:val="20"/>
          <w:szCs w:val="18"/>
        </w:rPr>
        <w:t xml:space="preserve"> are invited to submit your next communicable disease related article to the Communicable Diseases Intelligence (CDI) for consideration. More information regarding CDI can be found at: </w:t>
      </w:r>
      <w:hyperlink r:id="rId15" w:tooltip="CDI Website" w:history="1">
        <w:r w:rsidRPr="000606CC">
          <w:rPr>
            <w:rStyle w:val="Hyperlink"/>
            <w:rFonts w:cstheme="minorHAnsi"/>
            <w:sz w:val="20"/>
            <w:szCs w:val="18"/>
          </w:rPr>
          <w:t>http://health.gov.au/cdi</w:t>
        </w:r>
      </w:hyperlink>
      <w:r w:rsidRPr="000606CC">
        <w:rPr>
          <w:rFonts w:cstheme="minorHAnsi"/>
          <w:sz w:val="20"/>
          <w:szCs w:val="18"/>
        </w:rPr>
        <w:t xml:space="preserve">. </w:t>
      </w:r>
    </w:p>
    <w:p w:rsidR="000A5F42" w:rsidRPr="000606CC" w:rsidRDefault="000A5F42" w:rsidP="000A5F42">
      <w:pPr>
        <w:pStyle w:val="NoSpacing"/>
        <w:rPr>
          <w:rFonts w:cstheme="minorHAnsi"/>
          <w:sz w:val="20"/>
          <w:szCs w:val="18"/>
        </w:rPr>
      </w:pPr>
      <w:r w:rsidRPr="000606CC">
        <w:rPr>
          <w:rFonts w:cstheme="minorHAnsi"/>
          <w:sz w:val="20"/>
          <w:szCs w:val="18"/>
        </w:rPr>
        <w:t xml:space="preserve">Further enquiries should be directed to: </w:t>
      </w:r>
      <w:hyperlink r:id="rId16" w:history="1">
        <w:r w:rsidRPr="000606CC">
          <w:rPr>
            <w:rStyle w:val="Hyperlink"/>
            <w:rFonts w:cstheme="minorHAnsi"/>
            <w:sz w:val="20"/>
            <w:szCs w:val="18"/>
          </w:rPr>
          <w:t>cdi.editor@health.gov.au</w:t>
        </w:r>
      </w:hyperlink>
      <w:r w:rsidRPr="000606CC">
        <w:rPr>
          <w:rFonts w:cstheme="minorHAnsi"/>
          <w:sz w:val="20"/>
          <w:szCs w:val="18"/>
        </w:rPr>
        <w:t>.</w:t>
      </w:r>
    </w:p>
    <w:p w:rsidR="000A5F42" w:rsidRPr="000606CC" w:rsidRDefault="000A5F42" w:rsidP="000A5F42">
      <w:pPr>
        <w:pStyle w:val="NoSpacing"/>
        <w:pBdr>
          <w:bottom w:val="single" w:sz="6" w:space="1" w:color="auto"/>
        </w:pBdr>
        <w:rPr>
          <w:rStyle w:val="Strong"/>
          <w:rFonts w:cstheme="minorHAnsi"/>
          <w:sz w:val="12"/>
          <w:szCs w:val="18"/>
        </w:rPr>
      </w:pPr>
    </w:p>
    <w:p w:rsidR="000A5F42" w:rsidRPr="000606CC" w:rsidRDefault="000A5F42" w:rsidP="000A5F42">
      <w:pPr>
        <w:pStyle w:val="NoSpacing"/>
        <w:rPr>
          <w:rFonts w:cstheme="minorHAnsi"/>
          <w:sz w:val="20"/>
          <w:szCs w:val="18"/>
        </w:rPr>
      </w:pPr>
    </w:p>
    <w:p w:rsidR="000A5F42" w:rsidRPr="000606CC" w:rsidRDefault="000A5F42" w:rsidP="000A5F42">
      <w:pPr>
        <w:pStyle w:val="NoSpacing"/>
        <w:rPr>
          <w:rFonts w:cstheme="minorHAnsi"/>
          <w:sz w:val="20"/>
          <w:szCs w:val="18"/>
        </w:rPr>
      </w:pPr>
      <w:r w:rsidRPr="000606CC">
        <w:rPr>
          <w:rFonts w:cstheme="minorHAnsi"/>
          <w:sz w:val="20"/>
          <w:szCs w:val="18"/>
        </w:rPr>
        <w:t xml:space="preserve">This journal is indexed by Index </w:t>
      </w:r>
      <w:proofErr w:type="spellStart"/>
      <w:r w:rsidRPr="000606CC">
        <w:rPr>
          <w:rFonts w:cstheme="minorHAnsi"/>
          <w:sz w:val="20"/>
          <w:szCs w:val="18"/>
        </w:rPr>
        <w:t>Medicus</w:t>
      </w:r>
      <w:proofErr w:type="spellEnd"/>
      <w:r w:rsidRPr="000606CC">
        <w:rPr>
          <w:rFonts w:cstheme="minorHAnsi"/>
          <w:sz w:val="20"/>
          <w:szCs w:val="18"/>
        </w:rPr>
        <w:t xml:space="preserve"> and Medline.</w:t>
      </w:r>
    </w:p>
    <w:p w:rsidR="000A5F42" w:rsidRPr="000606CC" w:rsidRDefault="000A5F42" w:rsidP="000A5F42">
      <w:pPr>
        <w:pStyle w:val="NoSpacing"/>
        <w:rPr>
          <w:rFonts w:cstheme="minorHAnsi"/>
          <w:sz w:val="20"/>
          <w:szCs w:val="18"/>
        </w:rPr>
      </w:pPr>
    </w:p>
    <w:p w:rsidR="000A5F42" w:rsidRPr="000606CC" w:rsidRDefault="000A5F42" w:rsidP="000A5F42">
      <w:pPr>
        <w:pStyle w:val="NoSpacing"/>
        <w:rPr>
          <w:rFonts w:cstheme="minorHAnsi"/>
          <w:sz w:val="20"/>
          <w:szCs w:val="18"/>
        </w:rPr>
      </w:pPr>
      <w:r w:rsidRPr="000606CC">
        <w:rPr>
          <w:rFonts w:cstheme="minorHAnsi"/>
          <w:sz w:val="20"/>
          <w:szCs w:val="18"/>
        </w:rPr>
        <w:t>Creative Commons Licence -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CC BY-NC-ND</w:t>
      </w:r>
    </w:p>
    <w:p w:rsidR="000A5F42" w:rsidRPr="000606CC" w:rsidRDefault="000A5F42" w:rsidP="000A5F42">
      <w:pPr>
        <w:pStyle w:val="NoSpacing"/>
        <w:rPr>
          <w:rFonts w:cstheme="minorHAnsi"/>
          <w:sz w:val="20"/>
          <w:szCs w:val="18"/>
        </w:rPr>
      </w:pPr>
      <w:r w:rsidRPr="000606CC">
        <w:rPr>
          <w:rFonts w:cstheme="minorHAnsi"/>
          <w:sz w:val="20"/>
          <w:szCs w:val="18"/>
        </w:rPr>
        <w:t>© 2019 Commonwealth of Australia as represented by the Department of Health</w:t>
      </w:r>
    </w:p>
    <w:p w:rsidR="000A5F42" w:rsidRPr="000606CC" w:rsidRDefault="000A5F42" w:rsidP="000A5F42">
      <w:pPr>
        <w:pStyle w:val="NoSpacing"/>
        <w:rPr>
          <w:rFonts w:cstheme="minorHAnsi"/>
          <w:sz w:val="20"/>
          <w:szCs w:val="18"/>
        </w:rPr>
      </w:pPr>
      <w:r w:rsidRPr="000606CC">
        <w:rPr>
          <w:rFonts w:cstheme="minorHAnsi"/>
          <w:sz w:val="20"/>
          <w:szCs w:val="18"/>
        </w:rPr>
        <w:t>This publication is licensed under a Creative Commons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4.0 International Licence from </w:t>
      </w:r>
      <w:hyperlink r:id="rId17" w:tooltip="Creative Commons licence" w:history="1">
        <w:r w:rsidRPr="000606CC">
          <w:rPr>
            <w:rStyle w:val="Hyperlink"/>
            <w:rFonts w:cstheme="minorHAnsi"/>
            <w:sz w:val="20"/>
            <w:szCs w:val="18"/>
          </w:rPr>
          <w:t>https://creativecommons.org/licenses/by-nc-nd/4.0/legalcode</w:t>
        </w:r>
      </w:hyperlink>
      <w:r w:rsidRPr="000606CC">
        <w:rPr>
          <w:rStyle w:val="URI"/>
          <w:rFonts w:cstheme="minorHAnsi"/>
          <w:sz w:val="20"/>
          <w:szCs w:val="18"/>
        </w:rPr>
        <w:t xml:space="preserve"> </w:t>
      </w:r>
      <w:r w:rsidRPr="000606CC">
        <w:rPr>
          <w:rFonts w:cstheme="minorHAnsi"/>
          <w:sz w:val="20"/>
          <w:szCs w:val="18"/>
        </w:rPr>
        <w:t>(Licence). You must read and understand the Licence before using any material from this publication.</w:t>
      </w:r>
    </w:p>
    <w:p w:rsidR="000A5F42" w:rsidRPr="000606CC" w:rsidRDefault="000A5F42" w:rsidP="000A5F42">
      <w:pPr>
        <w:pStyle w:val="NoSpacing"/>
        <w:rPr>
          <w:rFonts w:cstheme="minorHAnsi"/>
          <w:sz w:val="20"/>
          <w:szCs w:val="18"/>
        </w:rPr>
      </w:pPr>
    </w:p>
    <w:p w:rsidR="000A5F42" w:rsidRPr="000606CC" w:rsidRDefault="000A5F42" w:rsidP="000A5F42">
      <w:pPr>
        <w:pStyle w:val="NoSpacing"/>
        <w:rPr>
          <w:rFonts w:cstheme="minorHAnsi"/>
          <w:sz w:val="20"/>
          <w:szCs w:val="18"/>
        </w:rPr>
      </w:pPr>
      <w:r w:rsidRPr="000606CC">
        <w:rPr>
          <w:rStyle w:val="Strong"/>
          <w:rFonts w:cstheme="minorHAnsi"/>
          <w:sz w:val="20"/>
          <w:szCs w:val="18"/>
        </w:rPr>
        <w:t>Restrictions</w:t>
      </w:r>
      <w:r w:rsidRPr="000606CC">
        <w:rPr>
          <w:rStyle w:val="Strong"/>
          <w:rFonts w:cstheme="minorHAnsi"/>
          <w:sz w:val="20"/>
          <w:szCs w:val="18"/>
        </w:rPr>
        <w:br/>
      </w:r>
      <w:r w:rsidRPr="000606CC">
        <w:rPr>
          <w:rFonts w:cstheme="minorHAnsi"/>
          <w:sz w:val="20"/>
          <w:szCs w:val="18"/>
        </w:rPr>
        <w:t>The Licence does not cover, and there is no permission given for, use of any of the following material found in this publication (if</w:t>
      </w:r>
      <w:r w:rsidR="001378A3">
        <w:rPr>
          <w:rFonts w:cstheme="minorHAnsi"/>
          <w:sz w:val="20"/>
          <w:szCs w:val="18"/>
        </w:rPr>
        <w:t> </w:t>
      </w:r>
      <w:r w:rsidRPr="000606CC">
        <w:rPr>
          <w:rFonts w:cstheme="minorHAnsi"/>
          <w:sz w:val="20"/>
          <w:szCs w:val="18"/>
        </w:rPr>
        <w:t xml:space="preserve">any): </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the Commonwealth Coat of Arms (by way of information, the terms under which the Coat of Arms may be used can be found at </w:t>
      </w:r>
      <w:hyperlink r:id="rId18" w:tooltip="Australian Honours system website" w:history="1">
        <w:r w:rsidRPr="000606CC">
          <w:rPr>
            <w:rStyle w:val="Hyperlink"/>
            <w:rFonts w:cstheme="minorHAnsi"/>
            <w:sz w:val="20"/>
            <w:szCs w:val="18"/>
          </w:rPr>
          <w:t>www.itsanhonour.gov.au</w:t>
        </w:r>
      </w:hyperlink>
      <w:r w:rsidRPr="000606CC">
        <w:rPr>
          <w:rStyle w:val="URI"/>
          <w:rFonts w:cstheme="minorHAnsi"/>
          <w:sz w:val="20"/>
          <w:szCs w:val="18"/>
          <w:u w:val="none"/>
        </w:rPr>
        <w:t>)</w:t>
      </w:r>
      <w:r w:rsidRPr="000606CC">
        <w:rPr>
          <w:rFonts w:cstheme="minorHAnsi"/>
          <w:sz w:val="20"/>
          <w:szCs w:val="18"/>
        </w:rPr>
        <w:t xml:space="preserve">;  </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any logos (including the Department of Health’s logo) and trademarks;</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photographs and images; </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any signatures; and</w:t>
      </w:r>
    </w:p>
    <w:p w:rsidR="000A5F42" w:rsidRPr="000606CC" w:rsidRDefault="000A5F42" w:rsidP="000A5F42">
      <w:pPr>
        <w:pStyle w:val="NoSpacing"/>
        <w:numPr>
          <w:ilvl w:val="0"/>
          <w:numId w:val="6"/>
        </w:numPr>
        <w:rPr>
          <w:rFonts w:cstheme="minorHAnsi"/>
          <w:sz w:val="20"/>
          <w:szCs w:val="18"/>
        </w:rPr>
      </w:pPr>
      <w:proofErr w:type="gramStart"/>
      <w:r w:rsidRPr="000606CC">
        <w:rPr>
          <w:rFonts w:cstheme="minorHAnsi"/>
          <w:sz w:val="20"/>
          <w:szCs w:val="18"/>
        </w:rPr>
        <w:t>any</w:t>
      </w:r>
      <w:proofErr w:type="gramEnd"/>
      <w:r w:rsidRPr="000606CC">
        <w:rPr>
          <w:rFonts w:cstheme="minorHAnsi"/>
          <w:sz w:val="20"/>
          <w:szCs w:val="18"/>
        </w:rPr>
        <w:t xml:space="preserve"> material belonging to third parties. </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Strong"/>
          <w:rFonts w:cstheme="minorHAnsi"/>
          <w:sz w:val="20"/>
          <w:szCs w:val="18"/>
        </w:rPr>
      </w:pPr>
      <w:r w:rsidRPr="000606CC">
        <w:rPr>
          <w:rStyle w:val="Strong"/>
          <w:rFonts w:cstheme="minorHAnsi"/>
          <w:sz w:val="20"/>
          <w:szCs w:val="18"/>
        </w:rPr>
        <w:t>Disclaimer</w:t>
      </w:r>
      <w:r w:rsidRPr="000606CC">
        <w:rPr>
          <w:rStyle w:val="Strong"/>
          <w:rFonts w:cstheme="minorHAnsi"/>
          <w:sz w:val="20"/>
          <w:szCs w:val="18"/>
        </w:rPr>
        <w:br/>
      </w:r>
      <w:r w:rsidRPr="000606CC">
        <w:rPr>
          <w:rFonts w:cstheme="minorHAnsi"/>
          <w:sz w:val="20"/>
          <w:szCs w:val="18"/>
        </w:rPr>
        <w:t>Opinions expressed in Communicable Diseases Intelligence are those of the authors and not necessarily those of the Australian Government Department of Health or the Communicable Diseases Network Australia. Data may be subject to revision.</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Enquiries</w:t>
      </w:r>
      <w:r w:rsidRPr="000606CC">
        <w:rPr>
          <w:rStyle w:val="Strong"/>
          <w:rFonts w:cstheme="minorHAnsi"/>
          <w:sz w:val="20"/>
          <w:szCs w:val="18"/>
        </w:rPr>
        <w:br/>
      </w:r>
      <w:proofErr w:type="spellStart"/>
      <w:r w:rsidRPr="000606CC">
        <w:rPr>
          <w:rFonts w:cstheme="minorHAnsi"/>
          <w:sz w:val="20"/>
          <w:szCs w:val="18"/>
        </w:rPr>
        <w:t>Enquiries</w:t>
      </w:r>
      <w:proofErr w:type="spellEnd"/>
      <w:r w:rsidRPr="000606CC">
        <w:rPr>
          <w:rFonts w:cstheme="minorHAnsi"/>
          <w:sz w:val="20"/>
          <w:szCs w:val="18"/>
        </w:rPr>
        <w:t xml:space="preserve"> regarding any other use of this publication should be addressed to the Communication Branch, Department of Health, GPO Box 9848, Canberra ACT 2601, or via e-mail to: </w:t>
      </w:r>
      <w:hyperlink r:id="rId19" w:history="1">
        <w:r w:rsidRPr="000606CC">
          <w:rPr>
            <w:rStyle w:val="Hyperlink"/>
            <w:rFonts w:cstheme="minorHAnsi"/>
            <w:sz w:val="20"/>
            <w:szCs w:val="18"/>
          </w:rPr>
          <w:t>copyright@health.gov.au</w:t>
        </w:r>
      </w:hyperlink>
      <w:r w:rsidRPr="000606CC">
        <w:rPr>
          <w:rStyle w:val="URI"/>
          <w:rFonts w:cstheme="minorHAnsi"/>
          <w:sz w:val="20"/>
          <w:szCs w:val="18"/>
        </w:rPr>
        <w:t xml:space="preserve"> </w:t>
      </w:r>
    </w:p>
    <w:p w:rsidR="000A5F42" w:rsidRPr="000606CC" w:rsidRDefault="000A5F42" w:rsidP="000A5F42">
      <w:pPr>
        <w:pStyle w:val="NoSpacing"/>
        <w:rPr>
          <w:rStyle w:val="URI"/>
          <w:rFonts w:cstheme="minorHAnsi"/>
          <w:sz w:val="20"/>
          <w:szCs w:val="18"/>
        </w:rPr>
      </w:pPr>
    </w:p>
    <w:p w:rsidR="000A5F42" w:rsidRPr="000606CC" w:rsidRDefault="000A5F42" w:rsidP="000A5F42">
      <w:pPr>
        <w:pStyle w:val="NoSpacing"/>
        <w:rPr>
          <w:rStyle w:val="Strong"/>
          <w:rFonts w:cstheme="minorHAnsi"/>
          <w:b w:val="0"/>
          <w:bCs w:val="0"/>
          <w:color w:val="000000"/>
          <w:sz w:val="20"/>
          <w:szCs w:val="18"/>
          <w:u w:val="thick"/>
        </w:rPr>
      </w:pPr>
      <w:r w:rsidRPr="000606CC">
        <w:rPr>
          <w:rStyle w:val="Strong"/>
          <w:rFonts w:cstheme="minorHAnsi"/>
          <w:sz w:val="20"/>
          <w:szCs w:val="18"/>
        </w:rPr>
        <w:t>Communicable Diseases Network Australia</w:t>
      </w:r>
      <w:r w:rsidRPr="000606CC">
        <w:rPr>
          <w:rStyle w:val="Strong"/>
          <w:rFonts w:cstheme="minorHAnsi"/>
          <w:sz w:val="20"/>
          <w:szCs w:val="18"/>
        </w:rPr>
        <w:br/>
      </w:r>
      <w:r w:rsidRPr="000606CC">
        <w:rPr>
          <w:rFonts w:cstheme="minorHAnsi"/>
          <w:sz w:val="20"/>
          <w:szCs w:val="18"/>
        </w:rPr>
        <w:t>Communicable Diseases Intelligence contributes to the work of the Communicable Diseases Network Australia.</w:t>
      </w:r>
      <w:r w:rsidRPr="000606CC">
        <w:rPr>
          <w:rFonts w:cstheme="minorHAnsi"/>
          <w:sz w:val="20"/>
          <w:szCs w:val="18"/>
        </w:rPr>
        <w:br/>
      </w:r>
      <w:hyperlink r:id="rId20" w:tooltip="Communicable Diseases Network Australia website" w:history="1">
        <w:r w:rsidRPr="000606CC">
          <w:rPr>
            <w:rStyle w:val="Hyperlink"/>
            <w:rFonts w:cstheme="minorHAnsi"/>
            <w:sz w:val="20"/>
            <w:szCs w:val="18"/>
          </w:rPr>
          <w:t>http://www.health.gov.au/cdna</w:t>
        </w:r>
      </w:hyperlink>
    </w:p>
    <w:p w:rsidR="001B37B8" w:rsidRPr="00E92237" w:rsidRDefault="001B37B8" w:rsidP="001B37B8">
      <w:pPr>
        <w:rPr>
          <w:rFonts w:cs="Myriad Pro"/>
          <w:color w:val="211D1E"/>
          <w:sz w:val="20"/>
          <w:szCs w:val="20"/>
        </w:rPr>
      </w:pPr>
    </w:p>
    <w:sectPr w:rsidR="001B37B8" w:rsidRPr="00E92237" w:rsidSect="002B75A9">
      <w:headerReference w:type="default" r:id="rId21"/>
      <w:pgSz w:w="11906" w:h="16838"/>
      <w:pgMar w:top="720" w:right="720" w:bottom="1134"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DC5" w:rsidRDefault="00E77DC5" w:rsidP="00E54DBA">
      <w:r>
        <w:separator/>
      </w:r>
    </w:p>
    <w:p w:rsidR="00E77DC5" w:rsidRDefault="00E77DC5"/>
    <w:p w:rsidR="00E77DC5" w:rsidRDefault="00E77DC5" w:rsidP="008714B0"/>
  </w:endnote>
  <w:endnote w:type="continuationSeparator" w:id="0">
    <w:p w:rsidR="00E77DC5" w:rsidRDefault="00E77DC5" w:rsidP="00E54DBA">
      <w:r>
        <w:continuationSeparator/>
      </w:r>
    </w:p>
    <w:p w:rsidR="00E77DC5" w:rsidRDefault="00E77DC5"/>
    <w:p w:rsidR="00E77DC5" w:rsidRDefault="00E77DC5"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yriad Pro">
    <w:altName w:val="Myriad Pro"/>
    <w:panose1 w:val="020B0503030403020204"/>
    <w:charset w:val="00"/>
    <w:family w:val="swiss"/>
    <w:notTrueType/>
    <w:pitch w:val="variable"/>
    <w:sig w:usb0="20000287" w:usb1="00000001" w:usb2="00000000" w:usb3="00000000" w:csb0="0000019F" w:csb1="00000000"/>
  </w:font>
  <w:font w:name="Minion Pro SmBd">
    <w:panose1 w:val="02040603060306020203"/>
    <w:charset w:val="00"/>
    <w:family w:val="roman"/>
    <w:notTrueType/>
    <w:pitch w:val="variable"/>
    <w:sig w:usb0="60000287" w:usb1="00000001" w:usb2="00000000" w:usb3="00000000" w:csb0="0000019F" w:csb1="00000000"/>
  </w:font>
  <w:font w:name="Myriad Pro Cond">
    <w:altName w:val="Corbel"/>
    <w:panose1 w:val="020B0506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ED1" w:rsidRPr="0042435E" w:rsidRDefault="0042435E" w:rsidP="00252C9A">
    <w:pPr>
      <w:pStyle w:val="Footer"/>
      <w:pBdr>
        <w:top w:val="single" w:sz="2"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BE1399">
      <w:rPr>
        <w:noProof/>
        <w:sz w:val="18"/>
      </w:rPr>
      <w:t>4</w:t>
    </w:r>
    <w:r w:rsidRPr="00BE6C3D">
      <w:rPr>
        <w:noProof/>
        <w:sz w:val="18"/>
      </w:rPr>
      <w:fldChar w:fldCharType="end"/>
    </w:r>
    <w:r>
      <w:rPr>
        <w:noProof/>
        <w:sz w:val="18"/>
      </w:rPr>
      <w:t xml:space="preserve"> of </w:t>
    </w:r>
    <w:r w:rsidR="007C6454">
      <w:rPr>
        <w:noProof/>
        <w:sz w:val="18"/>
      </w:rPr>
      <w:fldChar w:fldCharType="begin"/>
    </w:r>
    <w:r w:rsidR="007C6454">
      <w:rPr>
        <w:noProof/>
        <w:sz w:val="18"/>
      </w:rPr>
      <w:instrText xml:space="preserve"> NUMPAGES \* MERGEFORMAT </w:instrText>
    </w:r>
    <w:r w:rsidR="007C6454">
      <w:rPr>
        <w:noProof/>
        <w:sz w:val="18"/>
      </w:rPr>
      <w:fldChar w:fldCharType="separate"/>
    </w:r>
    <w:r w:rsidR="00BE1399">
      <w:rPr>
        <w:noProof/>
        <w:sz w:val="18"/>
      </w:rPr>
      <w:t>4</w:t>
    </w:r>
    <w:r w:rsidR="007C6454">
      <w:rPr>
        <w:noProof/>
        <w:sz w:val="18"/>
      </w:rPr>
      <w:fldChar w:fldCharType="end"/>
    </w:r>
    <w:r>
      <w:rPr>
        <w:noProof/>
        <w:sz w:val="18"/>
      </w:rPr>
      <w:t xml:space="preserve"> </w:t>
    </w:r>
    <w:r w:rsidRPr="004315F5">
      <w:rPr>
        <w:sz w:val="18"/>
      </w:rPr>
      <w:t xml:space="preserve"> </w:t>
    </w:r>
    <w:r w:rsidR="00231046">
      <w:rPr>
        <w:noProof/>
        <w:sz w:val="18"/>
      </w:rPr>
      <w:ptab w:relativeTo="margin" w:alignment="center" w:leader="none"/>
    </w:r>
    <w:r w:rsidR="00231046" w:rsidRPr="004315F5">
      <w:rPr>
        <w:sz w:val="18"/>
      </w:rPr>
      <w:t xml:space="preserve"> </w:t>
    </w:r>
    <w:proofErr w:type="spellStart"/>
    <w:r w:rsidR="00CE342B" w:rsidRPr="0060015C">
      <w:rPr>
        <w:i/>
        <w:sz w:val="18"/>
      </w:rPr>
      <w:t>Commun</w:t>
    </w:r>
    <w:proofErr w:type="spellEnd"/>
    <w:r w:rsidR="00CE342B" w:rsidRPr="0060015C">
      <w:rPr>
        <w:i/>
        <w:sz w:val="18"/>
      </w:rPr>
      <w:t xml:space="preserve"> Dis </w:t>
    </w:r>
    <w:proofErr w:type="spellStart"/>
    <w:r w:rsidR="00CE342B" w:rsidRPr="0060015C">
      <w:rPr>
        <w:i/>
        <w:sz w:val="18"/>
      </w:rPr>
      <w:t>Intell</w:t>
    </w:r>
    <w:proofErr w:type="spellEnd"/>
    <w:r w:rsidR="00CE342B" w:rsidRPr="0060015C">
      <w:rPr>
        <w:i/>
        <w:sz w:val="18"/>
      </w:rPr>
      <w:t xml:space="preserve"> (2018)</w:t>
    </w:r>
    <w:r w:rsidR="00CE342B">
      <w:rPr>
        <w:sz w:val="18"/>
      </w:rPr>
      <w:t xml:space="preserve"> </w:t>
    </w:r>
    <w:r w:rsidR="00231046">
      <w:rPr>
        <w:sz w:val="18"/>
      </w:rPr>
      <w:fldChar w:fldCharType="begin"/>
    </w:r>
    <w:r w:rsidR="00231046">
      <w:rPr>
        <w:sz w:val="18"/>
      </w:rPr>
      <w:instrText xml:space="preserve"> DOCPROPERTY  Year  \* MERGEFORMAT </w:instrText>
    </w:r>
    <w:r w:rsidR="00231046">
      <w:rPr>
        <w:sz w:val="18"/>
      </w:rPr>
      <w:fldChar w:fldCharType="separate"/>
    </w:r>
    <w:r w:rsidR="00FD414D">
      <w:rPr>
        <w:sz w:val="18"/>
      </w:rPr>
      <w:t>2020</w:t>
    </w:r>
    <w:r w:rsidR="00231046">
      <w:rPr>
        <w:sz w:val="18"/>
      </w:rPr>
      <w:fldChar w:fldCharType="end"/>
    </w:r>
    <w:r w:rsidR="00231046">
      <w:rPr>
        <w:sz w:val="18"/>
      </w:rPr>
      <w:t xml:space="preserve"> </w:t>
    </w:r>
    <w:r w:rsidR="00231046">
      <w:rPr>
        <w:sz w:val="18"/>
      </w:rPr>
      <w:fldChar w:fldCharType="begin"/>
    </w:r>
    <w:r w:rsidR="00231046">
      <w:rPr>
        <w:sz w:val="18"/>
      </w:rPr>
      <w:instrText xml:space="preserve"> DOCPROPERTY  Vol  \* MERGEFORMAT </w:instrText>
    </w:r>
    <w:r w:rsidR="00231046">
      <w:rPr>
        <w:sz w:val="18"/>
      </w:rPr>
      <w:fldChar w:fldCharType="separate"/>
    </w:r>
    <w:r w:rsidR="00FD414D">
      <w:rPr>
        <w:sz w:val="18"/>
      </w:rPr>
      <w:t>44</w:t>
    </w:r>
    <w:r w:rsidR="00231046">
      <w:rPr>
        <w:sz w:val="18"/>
      </w:rPr>
      <w:fldChar w:fldCharType="end"/>
    </w:r>
    <w:r w:rsidR="00CE342B">
      <w:rPr>
        <w:sz w:val="18"/>
      </w:rPr>
      <w:t xml:space="preserve"> </w:t>
    </w:r>
    <w:r w:rsidR="00CE342B">
      <w:rPr>
        <w:sz w:val="18"/>
      </w:rPr>
      <w:fldChar w:fldCharType="begin"/>
    </w:r>
    <w:r w:rsidR="00CE342B">
      <w:rPr>
        <w:sz w:val="18"/>
      </w:rPr>
      <w:instrText xml:space="preserve"> DOCPROPERTY  DOI  \* MERGEFORMAT </w:instrText>
    </w:r>
    <w:r w:rsidR="00CE342B">
      <w:rPr>
        <w:sz w:val="18"/>
      </w:rPr>
      <w:fldChar w:fldCharType="separate"/>
    </w:r>
    <w:r w:rsidR="006E2B62">
      <w:rPr>
        <w:sz w:val="18"/>
      </w:rPr>
      <w:t>https://doi.org/10.33321/cdi.2020.44.1</w:t>
    </w:r>
    <w:r w:rsidR="00CE342B">
      <w:rPr>
        <w:sz w:val="18"/>
      </w:rPr>
      <w:fldChar w:fldCharType="end"/>
    </w:r>
    <w:r w:rsidR="00231046">
      <w:rPr>
        <w:sz w:val="18"/>
      </w:rPr>
      <w:t xml:space="preserve"> </w:t>
    </w:r>
    <w:proofErr w:type="spellStart"/>
    <w:r w:rsidR="00231046" w:rsidRPr="00155582">
      <w:rPr>
        <w:sz w:val="18"/>
      </w:rPr>
      <w:t>Epub</w:t>
    </w:r>
    <w:proofErr w:type="spellEnd"/>
    <w:r w:rsidR="00CE342B">
      <w:rPr>
        <w:sz w:val="18"/>
      </w:rPr>
      <w:t xml:space="preserve"> </w:t>
    </w:r>
    <w:r w:rsidR="00CE342B">
      <w:rPr>
        <w:sz w:val="18"/>
      </w:rPr>
      <w:fldChar w:fldCharType="begin"/>
    </w:r>
    <w:r w:rsidR="00CE342B">
      <w:rPr>
        <w:sz w:val="18"/>
      </w:rPr>
      <w:instrText xml:space="preserve"> DOCPROPERTY  ePubDate  \* MERGEFORMAT </w:instrText>
    </w:r>
    <w:r w:rsidR="00CE342B">
      <w:rPr>
        <w:sz w:val="18"/>
      </w:rPr>
      <w:fldChar w:fldCharType="separate"/>
    </w:r>
    <w:r w:rsidR="006E2B62">
      <w:rPr>
        <w:sz w:val="18"/>
      </w:rPr>
      <w:t>15/1/2020</w:t>
    </w:r>
    <w:r w:rsidR="00CE342B">
      <w:rPr>
        <w:sz w:val="18"/>
      </w:rPr>
      <w:fldChar w:fldCharType="end"/>
    </w:r>
    <w:r>
      <w:rPr>
        <w:sz w:val="18"/>
      </w:rPr>
      <w:ptab w:relativeTo="margin" w:alignment="right" w:leader="none"/>
    </w:r>
    <w:r w:rsidRPr="00155582">
      <w:rPr>
        <w:sz w:val="18"/>
      </w:rPr>
      <w:t>health.gov.au/cdi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378" w:rsidRPr="00BB5378" w:rsidRDefault="00BB5378" w:rsidP="00E538CC">
    <w:pPr>
      <w:pStyle w:val="Footer"/>
      <w:pBdr>
        <w:top w:val="single" w:sz="4"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BE1399">
      <w:rPr>
        <w:noProof/>
        <w:sz w:val="18"/>
      </w:rPr>
      <w:t>1</w:t>
    </w:r>
    <w:r w:rsidRPr="00BE6C3D">
      <w:rPr>
        <w:noProof/>
        <w:sz w:val="18"/>
      </w:rPr>
      <w:fldChar w:fldCharType="end"/>
    </w:r>
    <w:r>
      <w:rPr>
        <w:noProof/>
        <w:sz w:val="18"/>
      </w:rPr>
      <w:t xml:space="preserve"> of </w:t>
    </w:r>
    <w:r w:rsidR="00B132DB">
      <w:rPr>
        <w:noProof/>
        <w:sz w:val="18"/>
      </w:rPr>
      <w:fldChar w:fldCharType="begin"/>
    </w:r>
    <w:r w:rsidR="00B132DB">
      <w:rPr>
        <w:noProof/>
        <w:sz w:val="18"/>
      </w:rPr>
      <w:instrText xml:space="preserve"> NUMPAGES \* MERGEFORMAT </w:instrText>
    </w:r>
    <w:r w:rsidR="00B132DB">
      <w:rPr>
        <w:noProof/>
        <w:sz w:val="18"/>
      </w:rPr>
      <w:fldChar w:fldCharType="separate"/>
    </w:r>
    <w:r w:rsidR="00BE1399">
      <w:rPr>
        <w:noProof/>
        <w:sz w:val="18"/>
      </w:rPr>
      <w:t>4</w:t>
    </w:r>
    <w:r w:rsidR="00B132DB">
      <w:rPr>
        <w:noProof/>
        <w:sz w:val="18"/>
      </w:rPr>
      <w:fldChar w:fldCharType="end"/>
    </w:r>
    <w:r>
      <w:rPr>
        <w:noProof/>
        <w:sz w:val="18"/>
      </w:rPr>
      <w:t xml:space="preserve"> </w:t>
    </w:r>
    <w:r>
      <w:rPr>
        <w:noProof/>
        <w:sz w:val="18"/>
      </w:rPr>
      <w:ptab w:relativeTo="margin" w:alignment="center" w:leader="none"/>
    </w:r>
    <w:r w:rsidRPr="004315F5">
      <w:rPr>
        <w:sz w:val="18"/>
      </w:rPr>
      <w:t xml:space="preserve"> </w:t>
    </w:r>
    <w:proofErr w:type="spellStart"/>
    <w:r w:rsidR="00A164D5" w:rsidRPr="0060015C">
      <w:rPr>
        <w:i/>
        <w:sz w:val="18"/>
      </w:rPr>
      <w:t>Commun</w:t>
    </w:r>
    <w:proofErr w:type="spellEnd"/>
    <w:r w:rsidR="00A164D5" w:rsidRPr="0060015C">
      <w:rPr>
        <w:i/>
        <w:sz w:val="18"/>
      </w:rPr>
      <w:t xml:space="preserve"> Dis </w:t>
    </w:r>
    <w:proofErr w:type="spellStart"/>
    <w:r w:rsidR="00A164D5" w:rsidRPr="0060015C">
      <w:rPr>
        <w:i/>
        <w:sz w:val="18"/>
      </w:rPr>
      <w:t>Intell</w:t>
    </w:r>
    <w:proofErr w:type="spellEnd"/>
    <w:r w:rsidR="00A164D5" w:rsidRPr="0060015C">
      <w:rPr>
        <w:i/>
        <w:sz w:val="18"/>
      </w:rPr>
      <w:t xml:space="preserve"> (2018)</w:t>
    </w:r>
    <w:r w:rsidR="00A164D5">
      <w:rPr>
        <w:sz w:val="18"/>
      </w:rPr>
      <w:t xml:space="preserve"> </w:t>
    </w:r>
    <w:r w:rsidR="005E4229">
      <w:rPr>
        <w:sz w:val="18"/>
      </w:rPr>
      <w:fldChar w:fldCharType="begin"/>
    </w:r>
    <w:r w:rsidR="005E4229">
      <w:rPr>
        <w:sz w:val="18"/>
      </w:rPr>
      <w:instrText xml:space="preserve"> DOCPROPERTY  Year  \* MERGEFORMAT </w:instrText>
    </w:r>
    <w:r w:rsidR="005E4229">
      <w:rPr>
        <w:sz w:val="18"/>
      </w:rPr>
      <w:fldChar w:fldCharType="separate"/>
    </w:r>
    <w:r w:rsidR="00FD414D">
      <w:rPr>
        <w:sz w:val="18"/>
      </w:rPr>
      <w:t>2020</w:t>
    </w:r>
    <w:r w:rsidR="005E4229">
      <w:rPr>
        <w:sz w:val="18"/>
      </w:rPr>
      <w:fldChar w:fldCharType="end"/>
    </w:r>
    <w:r w:rsidR="005E4229">
      <w:rPr>
        <w:sz w:val="18"/>
      </w:rPr>
      <w:t xml:space="preserve"> </w:t>
    </w:r>
    <w:r w:rsidR="00581588">
      <w:rPr>
        <w:sz w:val="18"/>
      </w:rPr>
      <w:fldChar w:fldCharType="begin"/>
    </w:r>
    <w:r w:rsidR="00581588">
      <w:rPr>
        <w:sz w:val="18"/>
      </w:rPr>
      <w:instrText xml:space="preserve"> DOCPROPERTY  Vol  \* MERGEFORMAT </w:instrText>
    </w:r>
    <w:r w:rsidR="00581588">
      <w:rPr>
        <w:sz w:val="18"/>
      </w:rPr>
      <w:fldChar w:fldCharType="separate"/>
    </w:r>
    <w:r w:rsidR="00FD414D">
      <w:rPr>
        <w:sz w:val="18"/>
      </w:rPr>
      <w:t>44</w:t>
    </w:r>
    <w:r w:rsidR="00581588">
      <w:rPr>
        <w:sz w:val="18"/>
      </w:rPr>
      <w:fldChar w:fldCharType="end"/>
    </w:r>
    <w:r w:rsidR="00047B68">
      <w:rPr>
        <w:sz w:val="18"/>
      </w:rPr>
      <w:t xml:space="preserve"> </w:t>
    </w:r>
    <w:r w:rsidR="00047B68">
      <w:rPr>
        <w:sz w:val="18"/>
      </w:rPr>
      <w:fldChar w:fldCharType="begin"/>
    </w:r>
    <w:r w:rsidR="00047B68">
      <w:rPr>
        <w:sz w:val="18"/>
      </w:rPr>
      <w:instrText xml:space="preserve"> DOCPROPERTY  DOI  \* MERGEFORMAT </w:instrText>
    </w:r>
    <w:r w:rsidR="00047B68">
      <w:rPr>
        <w:sz w:val="18"/>
      </w:rPr>
      <w:fldChar w:fldCharType="separate"/>
    </w:r>
    <w:r w:rsidR="00413C44">
      <w:rPr>
        <w:sz w:val="18"/>
      </w:rPr>
      <w:t>https://doi.org/10.33321/cdi.2020.44.1</w:t>
    </w:r>
    <w:r w:rsidR="00047B68">
      <w:rPr>
        <w:sz w:val="18"/>
      </w:rPr>
      <w:fldChar w:fldCharType="end"/>
    </w:r>
    <w:r w:rsidR="00C24725">
      <w:rPr>
        <w:sz w:val="18"/>
      </w:rPr>
      <w:t xml:space="preserve"> </w:t>
    </w:r>
    <w:proofErr w:type="spellStart"/>
    <w:r w:rsidRPr="00155582">
      <w:rPr>
        <w:sz w:val="18"/>
      </w:rPr>
      <w:t>Epub</w:t>
    </w:r>
    <w:proofErr w:type="spellEnd"/>
    <w:r w:rsidRPr="00155582">
      <w:rPr>
        <w:sz w:val="18"/>
      </w:rPr>
      <w:t xml:space="preserve"> </w:t>
    </w:r>
    <w:r w:rsidR="00422FEB">
      <w:rPr>
        <w:sz w:val="18"/>
      </w:rPr>
      <w:fldChar w:fldCharType="begin"/>
    </w:r>
    <w:r w:rsidR="00422FEB">
      <w:rPr>
        <w:sz w:val="18"/>
      </w:rPr>
      <w:instrText xml:space="preserve"> DOCPROPERTY  ePubDate  \* MERGEFORMAT </w:instrText>
    </w:r>
    <w:r w:rsidR="00422FEB">
      <w:rPr>
        <w:sz w:val="18"/>
      </w:rPr>
      <w:fldChar w:fldCharType="separate"/>
    </w:r>
    <w:r w:rsidR="00413C44">
      <w:rPr>
        <w:sz w:val="18"/>
      </w:rPr>
      <w:t>15/1/2020</w:t>
    </w:r>
    <w:r w:rsidR="00422FEB">
      <w:rPr>
        <w:sz w:val="18"/>
      </w:rPr>
      <w:fldChar w:fldCharType="end"/>
    </w:r>
    <w:r>
      <w:rPr>
        <w:sz w:val="18"/>
      </w:rPr>
      <w:ptab w:relativeTo="margin" w:alignment="right" w:leader="none"/>
    </w:r>
    <w:r w:rsidRPr="00155582">
      <w:rPr>
        <w:sz w:val="18"/>
      </w:rPr>
      <w:t>health.gov.au/cdi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DC5" w:rsidRDefault="00E77DC5" w:rsidP="00E54DBA">
      <w:r>
        <w:separator/>
      </w:r>
    </w:p>
  </w:footnote>
  <w:footnote w:type="continuationSeparator" w:id="0">
    <w:p w:rsidR="00E77DC5" w:rsidRDefault="00E77DC5" w:rsidP="00E54DBA">
      <w:r>
        <w:continuationSeparator/>
      </w:r>
    </w:p>
  </w:footnote>
  <w:footnote w:type="continuationNotice" w:id="1">
    <w:p w:rsidR="00E77DC5" w:rsidRPr="00224EFF" w:rsidRDefault="00E77DC5" w:rsidP="00224EF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484" w:rsidRPr="00A153B6" w:rsidRDefault="00BE1399" w:rsidP="00A153B6">
    <w:pPr>
      <w:pStyle w:val="Header"/>
      <w:pBdr>
        <w:bottom w:val="single" w:sz="6" w:space="1" w:color="auto"/>
      </w:pBdr>
    </w:pPr>
    <w:sdt>
      <w:sdtPr>
        <w:alias w:val="Category"/>
        <w:tag w:val=""/>
        <w:id w:val="-862438058"/>
        <w:dataBinding w:prefixMappings="xmlns:ns0='http://purl.org/dc/elements/1.1/' xmlns:ns1='http://schemas.openxmlformats.org/package/2006/metadata/core-properties' " w:xpath="/ns1:coreProperties[1]/ns1:category[1]" w:storeItemID="{6C3C8BC8-F283-45AE-878A-BAB7291924A1}"/>
        <w:text/>
      </w:sdtPr>
      <w:sdtEndPr/>
      <w:sdtContent>
        <w:r w:rsidR="00391680">
          <w:t>Notice to readers</w:t>
        </w:r>
      </w:sdtContent>
    </w:sdt>
    <w:r w:rsidR="00A153B6">
      <w:ptab w:relativeTo="margin" w:alignment="right" w:leader="none"/>
    </w:r>
    <w:r w:rsidR="00A153B6" w:rsidRPr="00BB5378">
      <w:t>Communicable Diseases Intelligence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48" w:rsidRPr="000A5F42" w:rsidRDefault="008B5348" w:rsidP="000A5F42">
    <w:pPr>
      <w:pStyle w:val="Header"/>
      <w:jc w:val="center"/>
      <w:rPr>
        <w:b/>
      </w:rPr>
    </w:pPr>
    <w:r w:rsidRPr="00E810C5">
      <w:rPr>
        <w:rFonts w:cs="Myriad Pro"/>
        <w:noProof/>
        <w:color w:val="211D1E"/>
        <w:sz w:val="16"/>
      </w:rPr>
      <w:drawing>
        <wp:inline distT="0" distB="0" distL="0" distR="0" wp14:anchorId="25D92371" wp14:editId="16317A33">
          <wp:extent cx="1804481" cy="436389"/>
          <wp:effectExtent l="0" t="0" r="5715" b="1905"/>
          <wp:docPr id="1" name="Picture 1" descr="Australian Government Department of Health"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tralian Government-inline-word.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227" cy="452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B57DA"/>
    <w:multiLevelType w:val="multilevel"/>
    <w:tmpl w:val="15EC5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AC7C4E"/>
    <w:multiLevelType w:val="multilevel"/>
    <w:tmpl w:val="3BAEF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attachedTemplate r:id="rId1"/>
  <w:defaultTabStop w:val="720"/>
  <w:noPunctuationKerning/>
  <w:characterSpacingControl w:val="doNotCompress"/>
  <w:hdrShapeDefaults>
    <o:shapedefaults v:ext="edit" spidmax="614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14D"/>
    <w:rsid w:val="00000B5B"/>
    <w:rsid w:val="00001611"/>
    <w:rsid w:val="000104A8"/>
    <w:rsid w:val="0001246E"/>
    <w:rsid w:val="000124B1"/>
    <w:rsid w:val="00016FE6"/>
    <w:rsid w:val="00031064"/>
    <w:rsid w:val="00031692"/>
    <w:rsid w:val="00032531"/>
    <w:rsid w:val="000471BF"/>
    <w:rsid w:val="00047B68"/>
    <w:rsid w:val="00052600"/>
    <w:rsid w:val="0005643C"/>
    <w:rsid w:val="0006264A"/>
    <w:rsid w:val="00073D77"/>
    <w:rsid w:val="00081655"/>
    <w:rsid w:val="000864E0"/>
    <w:rsid w:val="000969B3"/>
    <w:rsid w:val="000A5F42"/>
    <w:rsid w:val="000C2F8A"/>
    <w:rsid w:val="000D4B4D"/>
    <w:rsid w:val="00113D58"/>
    <w:rsid w:val="001378A3"/>
    <w:rsid w:val="00155582"/>
    <w:rsid w:val="00161590"/>
    <w:rsid w:val="00171CC0"/>
    <w:rsid w:val="00175494"/>
    <w:rsid w:val="00175629"/>
    <w:rsid w:val="001830EC"/>
    <w:rsid w:val="00183534"/>
    <w:rsid w:val="001A4A68"/>
    <w:rsid w:val="001A4A96"/>
    <w:rsid w:val="001A5D05"/>
    <w:rsid w:val="001A796C"/>
    <w:rsid w:val="001B2614"/>
    <w:rsid w:val="001B37B8"/>
    <w:rsid w:val="001B552F"/>
    <w:rsid w:val="001C0893"/>
    <w:rsid w:val="001C1303"/>
    <w:rsid w:val="001C70B2"/>
    <w:rsid w:val="001D37C7"/>
    <w:rsid w:val="001D6888"/>
    <w:rsid w:val="00224EFF"/>
    <w:rsid w:val="002276DC"/>
    <w:rsid w:val="00227E00"/>
    <w:rsid w:val="002307CB"/>
    <w:rsid w:val="00231046"/>
    <w:rsid w:val="00234F21"/>
    <w:rsid w:val="00242659"/>
    <w:rsid w:val="002428F7"/>
    <w:rsid w:val="0024315F"/>
    <w:rsid w:val="00252C9A"/>
    <w:rsid w:val="00256309"/>
    <w:rsid w:val="00257484"/>
    <w:rsid w:val="00260636"/>
    <w:rsid w:val="00275C78"/>
    <w:rsid w:val="00280594"/>
    <w:rsid w:val="00281EE3"/>
    <w:rsid w:val="00284E4A"/>
    <w:rsid w:val="002A3799"/>
    <w:rsid w:val="002A3BCC"/>
    <w:rsid w:val="002A4516"/>
    <w:rsid w:val="002A569F"/>
    <w:rsid w:val="002A7066"/>
    <w:rsid w:val="002B001E"/>
    <w:rsid w:val="002B09B7"/>
    <w:rsid w:val="002B75A9"/>
    <w:rsid w:val="002C21B0"/>
    <w:rsid w:val="002E2FB3"/>
    <w:rsid w:val="002F327B"/>
    <w:rsid w:val="00301626"/>
    <w:rsid w:val="003059EC"/>
    <w:rsid w:val="00316CCD"/>
    <w:rsid w:val="00324F7E"/>
    <w:rsid w:val="003323BC"/>
    <w:rsid w:val="00346D42"/>
    <w:rsid w:val="00346E11"/>
    <w:rsid w:val="003601C0"/>
    <w:rsid w:val="003635F5"/>
    <w:rsid w:val="00372A88"/>
    <w:rsid w:val="00381A0F"/>
    <w:rsid w:val="00391680"/>
    <w:rsid w:val="003A1B3A"/>
    <w:rsid w:val="003A40F5"/>
    <w:rsid w:val="003B5B8C"/>
    <w:rsid w:val="003D79B1"/>
    <w:rsid w:val="003E74EE"/>
    <w:rsid w:val="003F0552"/>
    <w:rsid w:val="003F3BC2"/>
    <w:rsid w:val="00401ED1"/>
    <w:rsid w:val="0040224C"/>
    <w:rsid w:val="00413C44"/>
    <w:rsid w:val="00413EE1"/>
    <w:rsid w:val="004164BB"/>
    <w:rsid w:val="00421ECE"/>
    <w:rsid w:val="00422FEB"/>
    <w:rsid w:val="0042435E"/>
    <w:rsid w:val="004315F5"/>
    <w:rsid w:val="00433456"/>
    <w:rsid w:val="00433DFA"/>
    <w:rsid w:val="00435D67"/>
    <w:rsid w:val="00464A58"/>
    <w:rsid w:val="00473D2D"/>
    <w:rsid w:val="004A2125"/>
    <w:rsid w:val="004A38F6"/>
    <w:rsid w:val="004B4EB6"/>
    <w:rsid w:val="004C083C"/>
    <w:rsid w:val="004C67C6"/>
    <w:rsid w:val="004D29DE"/>
    <w:rsid w:val="004F30E2"/>
    <w:rsid w:val="00510EAC"/>
    <w:rsid w:val="00542A57"/>
    <w:rsid w:val="00565974"/>
    <w:rsid w:val="005732C0"/>
    <w:rsid w:val="0057336D"/>
    <w:rsid w:val="0057489A"/>
    <w:rsid w:val="00574ACF"/>
    <w:rsid w:val="00581588"/>
    <w:rsid w:val="0058540B"/>
    <w:rsid w:val="00587C87"/>
    <w:rsid w:val="00590B80"/>
    <w:rsid w:val="005B3134"/>
    <w:rsid w:val="005B4E61"/>
    <w:rsid w:val="005B595A"/>
    <w:rsid w:val="005B66C2"/>
    <w:rsid w:val="005D2465"/>
    <w:rsid w:val="005E33DD"/>
    <w:rsid w:val="005E4229"/>
    <w:rsid w:val="005E540E"/>
    <w:rsid w:val="005E55FB"/>
    <w:rsid w:val="005F16BB"/>
    <w:rsid w:val="0060015C"/>
    <w:rsid w:val="00607115"/>
    <w:rsid w:val="00620768"/>
    <w:rsid w:val="0062594B"/>
    <w:rsid w:val="00631406"/>
    <w:rsid w:val="006324FF"/>
    <w:rsid w:val="006351D6"/>
    <w:rsid w:val="00636E0D"/>
    <w:rsid w:val="0064142F"/>
    <w:rsid w:val="00643CB4"/>
    <w:rsid w:val="00656427"/>
    <w:rsid w:val="00660255"/>
    <w:rsid w:val="00696D57"/>
    <w:rsid w:val="006971F3"/>
    <w:rsid w:val="006C74A3"/>
    <w:rsid w:val="006D1381"/>
    <w:rsid w:val="006D31BC"/>
    <w:rsid w:val="006E2B62"/>
    <w:rsid w:val="006E7943"/>
    <w:rsid w:val="006F24EA"/>
    <w:rsid w:val="00704CA9"/>
    <w:rsid w:val="0071048D"/>
    <w:rsid w:val="00710F86"/>
    <w:rsid w:val="007111A8"/>
    <w:rsid w:val="00731BC3"/>
    <w:rsid w:val="00741192"/>
    <w:rsid w:val="00743A33"/>
    <w:rsid w:val="00746080"/>
    <w:rsid w:val="0075144A"/>
    <w:rsid w:val="00786329"/>
    <w:rsid w:val="00792C7D"/>
    <w:rsid w:val="00794A4D"/>
    <w:rsid w:val="007A5234"/>
    <w:rsid w:val="007B7854"/>
    <w:rsid w:val="007C56A1"/>
    <w:rsid w:val="007C6454"/>
    <w:rsid w:val="007E01E0"/>
    <w:rsid w:val="007E5EF6"/>
    <w:rsid w:val="007F0B93"/>
    <w:rsid w:val="007F2ECA"/>
    <w:rsid w:val="00811708"/>
    <w:rsid w:val="00816B90"/>
    <w:rsid w:val="00817799"/>
    <w:rsid w:val="00822F5F"/>
    <w:rsid w:val="00824FD3"/>
    <w:rsid w:val="00826589"/>
    <w:rsid w:val="00834BCC"/>
    <w:rsid w:val="00850D54"/>
    <w:rsid w:val="008714B0"/>
    <w:rsid w:val="00876331"/>
    <w:rsid w:val="00880726"/>
    <w:rsid w:val="008A3544"/>
    <w:rsid w:val="008B48B8"/>
    <w:rsid w:val="008B5348"/>
    <w:rsid w:val="008B58F8"/>
    <w:rsid w:val="008C0712"/>
    <w:rsid w:val="008C4520"/>
    <w:rsid w:val="008C5F09"/>
    <w:rsid w:val="008D470F"/>
    <w:rsid w:val="008E1F8F"/>
    <w:rsid w:val="008E3FDE"/>
    <w:rsid w:val="008E4768"/>
    <w:rsid w:val="008E761E"/>
    <w:rsid w:val="008F77B3"/>
    <w:rsid w:val="009008F5"/>
    <w:rsid w:val="00904CC1"/>
    <w:rsid w:val="009066AF"/>
    <w:rsid w:val="00912050"/>
    <w:rsid w:val="00912E48"/>
    <w:rsid w:val="0092746F"/>
    <w:rsid w:val="00935DC9"/>
    <w:rsid w:val="009446C0"/>
    <w:rsid w:val="0096082E"/>
    <w:rsid w:val="00961347"/>
    <w:rsid w:val="00967410"/>
    <w:rsid w:val="00967D73"/>
    <w:rsid w:val="0098119A"/>
    <w:rsid w:val="00984AAF"/>
    <w:rsid w:val="00991B09"/>
    <w:rsid w:val="00993CB2"/>
    <w:rsid w:val="009A5166"/>
    <w:rsid w:val="009A76F8"/>
    <w:rsid w:val="009B2B83"/>
    <w:rsid w:val="009C49F8"/>
    <w:rsid w:val="009D77CC"/>
    <w:rsid w:val="009E2423"/>
    <w:rsid w:val="009E55D7"/>
    <w:rsid w:val="009F4150"/>
    <w:rsid w:val="009F5665"/>
    <w:rsid w:val="009F5DAD"/>
    <w:rsid w:val="00A01BCA"/>
    <w:rsid w:val="00A10458"/>
    <w:rsid w:val="00A153B6"/>
    <w:rsid w:val="00A164D5"/>
    <w:rsid w:val="00A273C3"/>
    <w:rsid w:val="00A30C37"/>
    <w:rsid w:val="00A36C65"/>
    <w:rsid w:val="00A41BBE"/>
    <w:rsid w:val="00A45BDD"/>
    <w:rsid w:val="00A46A0A"/>
    <w:rsid w:val="00A553F8"/>
    <w:rsid w:val="00A6708F"/>
    <w:rsid w:val="00A71BF6"/>
    <w:rsid w:val="00A86F9A"/>
    <w:rsid w:val="00AA35E6"/>
    <w:rsid w:val="00AA50B6"/>
    <w:rsid w:val="00AB3472"/>
    <w:rsid w:val="00AD0762"/>
    <w:rsid w:val="00AD2B88"/>
    <w:rsid w:val="00AE4452"/>
    <w:rsid w:val="00AE7C38"/>
    <w:rsid w:val="00B01F99"/>
    <w:rsid w:val="00B02B37"/>
    <w:rsid w:val="00B05276"/>
    <w:rsid w:val="00B132DB"/>
    <w:rsid w:val="00B31427"/>
    <w:rsid w:val="00B33861"/>
    <w:rsid w:val="00B40DE2"/>
    <w:rsid w:val="00B50210"/>
    <w:rsid w:val="00B53955"/>
    <w:rsid w:val="00B6408A"/>
    <w:rsid w:val="00B714B8"/>
    <w:rsid w:val="00B82C2C"/>
    <w:rsid w:val="00B8720B"/>
    <w:rsid w:val="00B876EF"/>
    <w:rsid w:val="00BA4697"/>
    <w:rsid w:val="00BB4B3B"/>
    <w:rsid w:val="00BB5378"/>
    <w:rsid w:val="00BC0BD3"/>
    <w:rsid w:val="00BD0107"/>
    <w:rsid w:val="00BE0C33"/>
    <w:rsid w:val="00BE1399"/>
    <w:rsid w:val="00BE262C"/>
    <w:rsid w:val="00BE6C3D"/>
    <w:rsid w:val="00C07606"/>
    <w:rsid w:val="00C12542"/>
    <w:rsid w:val="00C24725"/>
    <w:rsid w:val="00C30BA9"/>
    <w:rsid w:val="00C3541E"/>
    <w:rsid w:val="00C36A8F"/>
    <w:rsid w:val="00C42FFA"/>
    <w:rsid w:val="00C507D8"/>
    <w:rsid w:val="00C62306"/>
    <w:rsid w:val="00C62EAC"/>
    <w:rsid w:val="00C63F9F"/>
    <w:rsid w:val="00C7723C"/>
    <w:rsid w:val="00C838F5"/>
    <w:rsid w:val="00CA1AF4"/>
    <w:rsid w:val="00CA6068"/>
    <w:rsid w:val="00CB15E1"/>
    <w:rsid w:val="00CB3D46"/>
    <w:rsid w:val="00CD1A87"/>
    <w:rsid w:val="00CD35F3"/>
    <w:rsid w:val="00CD5C93"/>
    <w:rsid w:val="00CE342B"/>
    <w:rsid w:val="00CF320C"/>
    <w:rsid w:val="00CF3A4B"/>
    <w:rsid w:val="00CF4001"/>
    <w:rsid w:val="00D05837"/>
    <w:rsid w:val="00D12D8A"/>
    <w:rsid w:val="00D13E0C"/>
    <w:rsid w:val="00D225EF"/>
    <w:rsid w:val="00D25896"/>
    <w:rsid w:val="00D373A1"/>
    <w:rsid w:val="00D37C0F"/>
    <w:rsid w:val="00D45661"/>
    <w:rsid w:val="00D45943"/>
    <w:rsid w:val="00D47D22"/>
    <w:rsid w:val="00D51865"/>
    <w:rsid w:val="00D51D0C"/>
    <w:rsid w:val="00D74140"/>
    <w:rsid w:val="00DA6E56"/>
    <w:rsid w:val="00DC6705"/>
    <w:rsid w:val="00DD2DE8"/>
    <w:rsid w:val="00DE38B4"/>
    <w:rsid w:val="00DE5D02"/>
    <w:rsid w:val="00E005A9"/>
    <w:rsid w:val="00E04676"/>
    <w:rsid w:val="00E1166E"/>
    <w:rsid w:val="00E24DC0"/>
    <w:rsid w:val="00E2519C"/>
    <w:rsid w:val="00E25F2A"/>
    <w:rsid w:val="00E41455"/>
    <w:rsid w:val="00E42AD2"/>
    <w:rsid w:val="00E50856"/>
    <w:rsid w:val="00E538CC"/>
    <w:rsid w:val="00E54DBA"/>
    <w:rsid w:val="00E63D7C"/>
    <w:rsid w:val="00E640D5"/>
    <w:rsid w:val="00E66E2E"/>
    <w:rsid w:val="00E67691"/>
    <w:rsid w:val="00E76A3B"/>
    <w:rsid w:val="00E77DC5"/>
    <w:rsid w:val="00E92237"/>
    <w:rsid w:val="00E951EF"/>
    <w:rsid w:val="00EA3D54"/>
    <w:rsid w:val="00EA56D9"/>
    <w:rsid w:val="00EA5CE3"/>
    <w:rsid w:val="00EB51C1"/>
    <w:rsid w:val="00EB5AE1"/>
    <w:rsid w:val="00EB5E0B"/>
    <w:rsid w:val="00EC2171"/>
    <w:rsid w:val="00ED442D"/>
    <w:rsid w:val="00ED70C2"/>
    <w:rsid w:val="00EE18FF"/>
    <w:rsid w:val="00EE489F"/>
    <w:rsid w:val="00F0647F"/>
    <w:rsid w:val="00F10CE3"/>
    <w:rsid w:val="00F14F3B"/>
    <w:rsid w:val="00F16362"/>
    <w:rsid w:val="00F207C7"/>
    <w:rsid w:val="00F36B6D"/>
    <w:rsid w:val="00F43FA3"/>
    <w:rsid w:val="00F55648"/>
    <w:rsid w:val="00F70046"/>
    <w:rsid w:val="00F748C2"/>
    <w:rsid w:val="00F76C5C"/>
    <w:rsid w:val="00F81EF3"/>
    <w:rsid w:val="00F84496"/>
    <w:rsid w:val="00F85DCB"/>
    <w:rsid w:val="00F86F9C"/>
    <w:rsid w:val="00F90D76"/>
    <w:rsid w:val="00FC002E"/>
    <w:rsid w:val="00FC4C23"/>
    <w:rsid w:val="00FC642E"/>
    <w:rsid w:val="00FD414D"/>
    <w:rsid w:val="00FE2AE4"/>
    <w:rsid w:val="00FE689F"/>
    <w:rsid w:val="00FE7809"/>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8F051A"/>
  <w15:docId w15:val="{0CD72594-34D8-4CFC-9005-F6F9DC22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192"/>
  </w:style>
  <w:style w:type="paragraph" w:styleId="Heading1">
    <w:name w:val="heading 1"/>
    <w:basedOn w:val="Normal"/>
    <w:next w:val="Normal"/>
    <w:link w:val="Heading1Char"/>
    <w:uiPriority w:val="9"/>
    <w:qFormat/>
    <w:rsid w:val="00DD2DE8"/>
    <w:pPr>
      <w:spacing w:before="480" w:after="24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4119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4119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4119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4119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74119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4119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DE8"/>
    <w:rPr>
      <w:rFonts w:asciiTheme="majorHAnsi" w:eastAsiaTheme="majorEastAsia" w:hAnsiTheme="majorHAnsi" w:cstheme="majorBidi"/>
      <w:b/>
      <w:bCs/>
      <w:sz w:val="32"/>
      <w:szCs w:val="28"/>
    </w:rPr>
  </w:style>
  <w:style w:type="paragraph" w:styleId="NormalWeb">
    <w:name w:val="Normal (Web)"/>
    <w:basedOn w:val="Normal"/>
    <w:link w:val="NormalWebChar"/>
    <w:uiPriority w:val="99"/>
    <w:unhideWhenUsed/>
    <w:pPr>
      <w:spacing w:before="100" w:beforeAutospacing="1" w:after="100" w:afterAutospacing="1"/>
    </w:pPr>
  </w:style>
  <w:style w:type="character" w:styleId="Strong">
    <w:name w:val="Strong"/>
    <w:uiPriority w:val="22"/>
    <w:qFormat/>
    <w:rsid w:val="00741192"/>
    <w:rPr>
      <w:b/>
      <w:bCs/>
    </w:rPr>
  </w:style>
  <w:style w:type="character" w:customStyle="1" w:styleId="Heading2Char">
    <w:name w:val="Heading 2 Char"/>
    <w:basedOn w:val="DefaultParagraphFont"/>
    <w:link w:val="Heading2"/>
    <w:uiPriority w:val="9"/>
    <w:rsid w:val="00741192"/>
    <w:rPr>
      <w:rFonts w:asciiTheme="majorHAnsi" w:eastAsiaTheme="majorEastAsia" w:hAnsiTheme="majorHAnsi" w:cstheme="majorBidi"/>
      <w:b/>
      <w:bCs/>
      <w:sz w:val="26"/>
      <w:szCs w:val="26"/>
    </w:rPr>
  </w:style>
  <w:style w:type="character" w:styleId="Emphasis">
    <w:name w:val="Emphasis"/>
    <w:uiPriority w:val="20"/>
    <w:qFormat/>
    <w:rsid w:val="00741192"/>
    <w:rPr>
      <w:b/>
      <w:bCs/>
      <w:i/>
      <w:iCs/>
      <w:spacing w:val="10"/>
      <w:bdr w:val="none" w:sz="0" w:space="0" w:color="auto"/>
      <w:shd w:val="clear" w:color="auto" w:fill="auto"/>
    </w:rPr>
  </w:style>
  <w:style w:type="paragraph" w:customStyle="1" w:styleId="table-text">
    <w:name w:val="table-text"/>
    <w:basedOn w:val="Normal"/>
    <w:rsid w:val="00822F5F"/>
    <w:rPr>
      <w:rFonts w:ascii="Myriad Pro" w:hAnsi="Myriad Pro"/>
      <w:color w:val="231F20"/>
      <w:sz w:val="14"/>
      <w:szCs w:val="14"/>
    </w:rPr>
  </w:style>
  <w:style w:type="paragraph" w:customStyle="1" w:styleId="table-h1">
    <w:name w:val="table-h1"/>
    <w:basedOn w:val="Normal"/>
    <w:rsid w:val="00822F5F"/>
    <w:rPr>
      <w:rFonts w:ascii="Myriad Pro" w:hAnsi="Myriad Pro"/>
      <w:b/>
      <w:bCs/>
      <w:color w:val="FFFFFF"/>
      <w:sz w:val="14"/>
      <w:szCs w:val="14"/>
    </w:rPr>
  </w:style>
  <w:style w:type="character" w:customStyle="1" w:styleId="Strong1">
    <w:name w:val="Strong1"/>
    <w:basedOn w:val="DefaultParagraphFont"/>
    <w:rsid w:val="00822F5F"/>
    <w:rPr>
      <w:b/>
      <w:bCs/>
      <w:i w:val="0"/>
      <w:iCs w:val="0"/>
    </w:rPr>
  </w:style>
  <w:style w:type="character" w:customStyle="1" w:styleId="superscript">
    <w:name w:val="superscript"/>
    <w:basedOn w:val="DefaultParagraphFont"/>
    <w:rsid w:val="00822F5F"/>
    <w:rPr>
      <w:vertAlign w:val="superscript"/>
    </w:rPr>
  </w:style>
  <w:style w:type="paragraph" w:customStyle="1" w:styleId="footnote">
    <w:name w:val="footnote"/>
    <w:basedOn w:val="Normal"/>
    <w:rsid w:val="008B48B8"/>
    <w:rPr>
      <w:rFonts w:ascii="Myriad Pro" w:hAnsi="Myriad Pro"/>
      <w:color w:val="231F20"/>
      <w:sz w:val="12"/>
      <w:szCs w:val="12"/>
    </w:rPr>
  </w:style>
  <w:style w:type="paragraph" w:customStyle="1" w:styleId="figure-table-title">
    <w:name w:val="figure-table-title"/>
    <w:basedOn w:val="Normal"/>
    <w:rsid w:val="008B48B8"/>
    <w:pPr>
      <w:spacing w:after="180"/>
    </w:pPr>
    <w:rPr>
      <w:rFonts w:ascii="Minion Pro SmBd" w:hAnsi="Minion Pro SmBd"/>
      <w:b/>
      <w:bCs/>
      <w:color w:val="231F20"/>
      <w:sz w:val="18"/>
      <w:szCs w:val="18"/>
    </w:rPr>
  </w:style>
  <w:style w:type="paragraph" w:styleId="ListParagraph">
    <w:name w:val="List Paragraph"/>
    <w:basedOn w:val="Normal"/>
    <w:uiPriority w:val="34"/>
    <w:qFormat/>
    <w:rsid w:val="00741192"/>
    <w:pPr>
      <w:ind w:left="720"/>
      <w:contextualSpacing/>
    </w:pPr>
  </w:style>
  <w:style w:type="paragraph" w:styleId="Header">
    <w:name w:val="header"/>
    <w:basedOn w:val="Normal"/>
    <w:link w:val="HeaderChar"/>
    <w:uiPriority w:val="99"/>
    <w:unhideWhenUsed/>
    <w:rsid w:val="00E54DBA"/>
    <w:pPr>
      <w:tabs>
        <w:tab w:val="center" w:pos="4513"/>
        <w:tab w:val="right" w:pos="9026"/>
      </w:tabs>
    </w:pPr>
  </w:style>
  <w:style w:type="character" w:customStyle="1" w:styleId="HeaderChar">
    <w:name w:val="Header Char"/>
    <w:basedOn w:val="DefaultParagraphFont"/>
    <w:link w:val="Header"/>
    <w:uiPriority w:val="99"/>
    <w:rsid w:val="00E54DBA"/>
    <w:rPr>
      <w:rFonts w:eastAsiaTheme="minorEastAsia"/>
      <w:sz w:val="24"/>
      <w:szCs w:val="24"/>
    </w:rPr>
  </w:style>
  <w:style w:type="paragraph" w:styleId="Footer">
    <w:name w:val="footer"/>
    <w:basedOn w:val="Normal"/>
    <w:link w:val="FooterChar"/>
    <w:uiPriority w:val="99"/>
    <w:unhideWhenUsed/>
    <w:rsid w:val="00E54DBA"/>
    <w:pPr>
      <w:tabs>
        <w:tab w:val="center" w:pos="4513"/>
        <w:tab w:val="right" w:pos="9026"/>
      </w:tabs>
    </w:pPr>
  </w:style>
  <w:style w:type="character" w:customStyle="1" w:styleId="FooterChar">
    <w:name w:val="Footer Char"/>
    <w:basedOn w:val="DefaultParagraphFont"/>
    <w:link w:val="Footer"/>
    <w:uiPriority w:val="99"/>
    <w:rsid w:val="00E54DBA"/>
    <w:rPr>
      <w:rFonts w:eastAsiaTheme="minorEastAsia"/>
      <w:sz w:val="24"/>
      <w:szCs w:val="24"/>
    </w:rPr>
  </w:style>
  <w:style w:type="paragraph" w:styleId="Title">
    <w:name w:val="Title"/>
    <w:basedOn w:val="Normal"/>
    <w:next w:val="Normal"/>
    <w:link w:val="TitleChar"/>
    <w:uiPriority w:val="10"/>
    <w:qFormat/>
    <w:rsid w:val="00984AAF"/>
    <w:pPr>
      <w:spacing w:line="240" w:lineRule="auto"/>
      <w:contextualSpacing/>
    </w:pPr>
    <w:rPr>
      <w:rFonts w:ascii="Myriad Pro Cond" w:eastAsiaTheme="majorEastAsia" w:hAnsi="Myriad Pro Cond" w:cstheme="majorBidi"/>
      <w:b/>
      <w:spacing w:val="5"/>
      <w:sz w:val="52"/>
      <w:szCs w:val="52"/>
    </w:rPr>
  </w:style>
  <w:style w:type="character" w:customStyle="1" w:styleId="TitleChar">
    <w:name w:val="Title Char"/>
    <w:basedOn w:val="DefaultParagraphFont"/>
    <w:link w:val="Title"/>
    <w:uiPriority w:val="10"/>
    <w:rsid w:val="00984AAF"/>
    <w:rPr>
      <w:rFonts w:ascii="Myriad Pro Cond" w:eastAsiaTheme="majorEastAsia" w:hAnsi="Myriad Pro Cond" w:cstheme="majorBidi"/>
      <w:b/>
      <w:spacing w:val="5"/>
      <w:sz w:val="52"/>
      <w:szCs w:val="52"/>
    </w:rPr>
  </w:style>
  <w:style w:type="character" w:customStyle="1" w:styleId="Heading3Char">
    <w:name w:val="Heading 3 Char"/>
    <w:basedOn w:val="DefaultParagraphFont"/>
    <w:link w:val="Heading3"/>
    <w:uiPriority w:val="9"/>
    <w:rsid w:val="007411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4119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4119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741192"/>
    <w:rPr>
      <w:rFonts w:asciiTheme="majorHAnsi" w:eastAsiaTheme="majorEastAsia" w:hAnsiTheme="majorHAnsi" w:cstheme="majorBidi"/>
      <w:b/>
      <w:bCs/>
      <w:i/>
      <w:iCs/>
      <w:color w:val="7F7F7F" w:themeColor="text1" w:themeTint="80"/>
    </w:rPr>
  </w:style>
  <w:style w:type="paragraph" w:styleId="Subtitle">
    <w:name w:val="Subtitle"/>
    <w:basedOn w:val="Normal"/>
    <w:next w:val="Normal"/>
    <w:link w:val="SubtitleChar"/>
    <w:uiPriority w:val="11"/>
    <w:qFormat/>
    <w:rsid w:val="0074119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41192"/>
    <w:rPr>
      <w:rFonts w:asciiTheme="majorHAnsi" w:eastAsiaTheme="majorEastAsia" w:hAnsiTheme="majorHAnsi" w:cstheme="majorBidi"/>
      <w:i/>
      <w:iCs/>
      <w:spacing w:val="13"/>
      <w:sz w:val="24"/>
      <w:szCs w:val="24"/>
    </w:rPr>
  </w:style>
  <w:style w:type="paragraph" w:styleId="NoSpacing">
    <w:name w:val="No Spacing"/>
    <w:basedOn w:val="Normal"/>
    <w:link w:val="NoSpacingChar"/>
    <w:uiPriority w:val="1"/>
    <w:qFormat/>
    <w:rsid w:val="00741192"/>
    <w:pPr>
      <w:spacing w:after="0" w:line="240" w:lineRule="auto"/>
    </w:pPr>
  </w:style>
  <w:style w:type="paragraph" w:styleId="Quote">
    <w:name w:val="Quote"/>
    <w:basedOn w:val="Normal"/>
    <w:next w:val="Normal"/>
    <w:link w:val="QuoteChar"/>
    <w:uiPriority w:val="29"/>
    <w:qFormat/>
    <w:rsid w:val="00741192"/>
    <w:pPr>
      <w:spacing w:before="200" w:after="0"/>
      <w:ind w:left="360" w:right="360"/>
    </w:pPr>
    <w:rPr>
      <w:i/>
      <w:iCs/>
    </w:rPr>
  </w:style>
  <w:style w:type="character" w:customStyle="1" w:styleId="QuoteChar">
    <w:name w:val="Quote Char"/>
    <w:basedOn w:val="DefaultParagraphFont"/>
    <w:link w:val="Quote"/>
    <w:uiPriority w:val="29"/>
    <w:rsid w:val="00741192"/>
    <w:rPr>
      <w:i/>
      <w:iCs/>
    </w:rPr>
  </w:style>
  <w:style w:type="paragraph" w:styleId="IntenseQuote">
    <w:name w:val="Intense Quote"/>
    <w:basedOn w:val="Normal"/>
    <w:next w:val="Normal"/>
    <w:link w:val="IntenseQuoteChar"/>
    <w:uiPriority w:val="30"/>
    <w:qFormat/>
    <w:rsid w:val="0074119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41192"/>
    <w:rPr>
      <w:b/>
      <w:bCs/>
      <w:i/>
      <w:iCs/>
    </w:rPr>
  </w:style>
  <w:style w:type="character" w:styleId="SubtleEmphasis">
    <w:name w:val="Subtle Emphasis"/>
    <w:uiPriority w:val="19"/>
    <w:qFormat/>
    <w:rsid w:val="00741192"/>
    <w:rPr>
      <w:i/>
      <w:iCs/>
    </w:rPr>
  </w:style>
  <w:style w:type="character" w:styleId="IntenseEmphasis">
    <w:name w:val="Intense Emphasis"/>
    <w:uiPriority w:val="21"/>
    <w:qFormat/>
    <w:rsid w:val="00741192"/>
    <w:rPr>
      <w:b/>
      <w:bCs/>
    </w:rPr>
  </w:style>
  <w:style w:type="character" w:styleId="SubtleReference">
    <w:name w:val="Subtle Reference"/>
    <w:uiPriority w:val="31"/>
    <w:qFormat/>
    <w:rsid w:val="00741192"/>
    <w:rPr>
      <w:smallCaps/>
    </w:rPr>
  </w:style>
  <w:style w:type="character" w:styleId="IntenseReference">
    <w:name w:val="Intense Reference"/>
    <w:uiPriority w:val="32"/>
    <w:qFormat/>
    <w:rsid w:val="00741192"/>
    <w:rPr>
      <w:smallCaps/>
      <w:spacing w:val="5"/>
      <w:u w:val="single"/>
    </w:rPr>
  </w:style>
  <w:style w:type="character" w:styleId="BookTitle">
    <w:name w:val="Book Title"/>
    <w:uiPriority w:val="33"/>
    <w:qFormat/>
    <w:rsid w:val="00741192"/>
    <w:rPr>
      <w:i/>
      <w:iCs/>
      <w:smallCaps/>
      <w:spacing w:val="5"/>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741192"/>
    <w:pPr>
      <w:outlineLvl w:val="9"/>
    </w:pPr>
    <w:rPr>
      <w:lang w:bidi="en-US"/>
    </w:rPr>
  </w:style>
  <w:style w:type="paragraph" w:styleId="BalloonText">
    <w:name w:val="Balloon Text"/>
    <w:basedOn w:val="Normal"/>
    <w:link w:val="BalloonTextChar"/>
    <w:uiPriority w:val="99"/>
    <w:semiHidden/>
    <w:unhideWhenUsed/>
    <w:rsid w:val="00C77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23C"/>
    <w:rPr>
      <w:rFonts w:ascii="Tahoma" w:hAnsi="Tahoma" w:cs="Tahoma"/>
      <w:sz w:val="16"/>
      <w:szCs w:val="16"/>
    </w:rPr>
  </w:style>
  <w:style w:type="character" w:styleId="PlaceholderText">
    <w:name w:val="Placeholder Text"/>
    <w:basedOn w:val="DefaultParagraphFont"/>
    <w:uiPriority w:val="99"/>
    <w:semiHidden/>
    <w:rsid w:val="00433DFA"/>
    <w:rPr>
      <w:color w:val="808080"/>
    </w:rPr>
  </w:style>
  <w:style w:type="character" w:customStyle="1" w:styleId="NoSpacingChar">
    <w:name w:val="No Spacing Char"/>
    <w:basedOn w:val="DefaultParagraphFont"/>
    <w:link w:val="NoSpacing"/>
    <w:uiPriority w:val="1"/>
    <w:rsid w:val="007B7854"/>
  </w:style>
  <w:style w:type="paragraph" w:customStyle="1" w:styleId="Pa1">
    <w:name w:val="Pa1"/>
    <w:basedOn w:val="Normal"/>
    <w:next w:val="Normal"/>
    <w:uiPriority w:val="99"/>
    <w:rsid w:val="00D47D22"/>
    <w:pPr>
      <w:autoSpaceDE w:val="0"/>
      <w:autoSpaceDN w:val="0"/>
      <w:adjustRightInd w:val="0"/>
      <w:spacing w:after="0" w:line="241" w:lineRule="atLeast"/>
    </w:pPr>
    <w:rPr>
      <w:rFonts w:ascii="Myriad Pro" w:hAnsi="Myriad Pro"/>
      <w:sz w:val="24"/>
      <w:szCs w:val="24"/>
    </w:rPr>
  </w:style>
  <w:style w:type="character" w:customStyle="1" w:styleId="A10">
    <w:name w:val="A10"/>
    <w:uiPriority w:val="99"/>
    <w:rsid w:val="00D47D22"/>
    <w:rPr>
      <w:rFonts w:cs="Myriad Pro"/>
      <w:color w:val="211D1E"/>
      <w:sz w:val="22"/>
      <w:szCs w:val="22"/>
    </w:rPr>
  </w:style>
  <w:style w:type="character" w:customStyle="1" w:styleId="A11">
    <w:name w:val="A11"/>
    <w:uiPriority w:val="99"/>
    <w:rsid w:val="00D47D22"/>
    <w:rPr>
      <w:rFonts w:cs="Myriad Pro"/>
      <w:color w:val="211D1E"/>
      <w:sz w:val="22"/>
      <w:szCs w:val="22"/>
      <w:u w:val="single"/>
    </w:rPr>
  </w:style>
  <w:style w:type="character" w:customStyle="1" w:styleId="A12">
    <w:name w:val="A12"/>
    <w:uiPriority w:val="99"/>
    <w:rsid w:val="00D47D22"/>
    <w:rPr>
      <w:rFonts w:cs="Myriad Pro"/>
      <w:color w:val="211D1E"/>
      <w:u w:val="single"/>
    </w:rPr>
  </w:style>
  <w:style w:type="character" w:styleId="Hyperlink">
    <w:name w:val="Hyperlink"/>
    <w:basedOn w:val="DefaultParagraphFont"/>
    <w:uiPriority w:val="99"/>
    <w:unhideWhenUsed/>
    <w:rsid w:val="001B37B8"/>
    <w:rPr>
      <w:color w:val="0000FF" w:themeColor="hyperlink"/>
      <w:u w:val="single"/>
    </w:rPr>
  </w:style>
  <w:style w:type="table" w:customStyle="1" w:styleId="CDI-StandardTable">
    <w:name w:val="CDI - Standard Table"/>
    <w:basedOn w:val="TableNormal"/>
    <w:uiPriority w:val="99"/>
    <w:rsid w:val="00AE4452"/>
    <w:pPr>
      <w:spacing w:after="0" w:line="240" w:lineRule="auto"/>
    </w:pPr>
    <w:rPr>
      <w:rFonts w:ascii="Calibri" w:hAnsi="Calibri"/>
    </w:rPr>
    <w:tblPr>
      <w:tblStyleRowBandSize w:val="1"/>
    </w:tblPr>
    <w:tblStylePr w:type="firstRow">
      <w:rPr>
        <w:rFonts w:asciiTheme="minorHAnsi" w:hAnsiTheme="minorHAnsi"/>
        <w:b/>
        <w:sz w:val="22"/>
      </w:rPr>
      <w:tblPr>
        <w:tblCellMar>
          <w:top w:w="120" w:type="dxa"/>
          <w:left w:w="120" w:type="dxa"/>
          <w:bottom w:w="120" w:type="dxa"/>
          <w:right w:w="120" w:type="dxa"/>
        </w:tblCellMar>
      </w:tblPr>
      <w:tcPr>
        <w:shd w:val="clear" w:color="auto" w:fill="404040" w:themeFill="text1" w:themeFillTint="BF"/>
      </w:tcPr>
    </w:tblStylePr>
    <w:tblStylePr w:type="band2Horz">
      <w:tblPr/>
      <w:tcPr>
        <w:shd w:val="clear" w:color="auto" w:fill="F2F2F2" w:themeFill="background1" w:themeFillShade="F2"/>
      </w:tcPr>
    </w:tblStylePr>
  </w:style>
  <w:style w:type="paragraph" w:customStyle="1" w:styleId="CDIfootnotes">
    <w:name w:val="CDI_footnotes"/>
    <w:basedOn w:val="NormalWeb"/>
    <w:link w:val="CDIfootnotesChar"/>
    <w:qFormat/>
    <w:rsid w:val="004C083C"/>
    <w:pPr>
      <w:spacing w:line="240" w:lineRule="auto"/>
      <w:ind w:left="720" w:hanging="720"/>
    </w:pPr>
    <w:rPr>
      <w:sz w:val="18"/>
    </w:rPr>
  </w:style>
  <w:style w:type="table" w:styleId="LightList">
    <w:name w:val="Light List"/>
    <w:basedOn w:val="TableNormal"/>
    <w:uiPriority w:val="61"/>
    <w:rsid w:val="00433456"/>
    <w:pPr>
      <w:spacing w:after="0" w:line="240" w:lineRule="auto"/>
    </w:p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43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IFigures">
    <w:name w:val="CDI_Figures"/>
    <w:basedOn w:val="NormalWeb"/>
    <w:link w:val="CDIFiguresChar"/>
    <w:qFormat/>
    <w:rsid w:val="00C30BA9"/>
    <w:rPr>
      <w:b/>
    </w:rPr>
  </w:style>
  <w:style w:type="character" w:customStyle="1" w:styleId="NormalWebChar">
    <w:name w:val="Normal (Web) Char"/>
    <w:basedOn w:val="DefaultParagraphFont"/>
    <w:link w:val="NormalWeb"/>
    <w:uiPriority w:val="99"/>
    <w:rsid w:val="00DE5D02"/>
  </w:style>
  <w:style w:type="character" w:customStyle="1" w:styleId="CDIfootnotesChar">
    <w:name w:val="CDI_footnotes Char"/>
    <w:basedOn w:val="NormalWebChar"/>
    <w:link w:val="CDIfootnotes"/>
    <w:rsid w:val="004C083C"/>
    <w:rPr>
      <w:sz w:val="18"/>
    </w:rPr>
  </w:style>
  <w:style w:type="character" w:customStyle="1" w:styleId="CDIFiguresChar">
    <w:name w:val="CDI_Figures Char"/>
    <w:basedOn w:val="NormalWebChar"/>
    <w:link w:val="CDIFigures"/>
    <w:rsid w:val="00C30BA9"/>
    <w:rPr>
      <w:b/>
    </w:rPr>
  </w:style>
  <w:style w:type="character" w:customStyle="1" w:styleId="URI">
    <w:name w:val="URI"/>
    <w:uiPriority w:val="99"/>
    <w:rsid w:val="000A5F42"/>
    <w:rPr>
      <w:color w:val="000000"/>
      <w:u w:val="thick"/>
    </w:rPr>
  </w:style>
  <w:style w:type="character" w:customStyle="1" w:styleId="nobreak">
    <w:name w:val="no break"/>
    <w:uiPriority w:val="99"/>
    <w:rsid w:val="000A5F42"/>
    <w:rPr>
      <w:u w:val="none"/>
    </w:rPr>
  </w:style>
  <w:style w:type="paragraph" w:styleId="FootnoteText">
    <w:name w:val="footnote text"/>
    <w:basedOn w:val="Normal"/>
    <w:link w:val="FootnoteTextChar"/>
    <w:uiPriority w:val="99"/>
    <w:semiHidden/>
    <w:unhideWhenUsed/>
    <w:rsid w:val="00224E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character" w:styleId="CommentReference">
    <w:name w:val="annotation reference"/>
    <w:basedOn w:val="DefaultParagraphFont"/>
    <w:uiPriority w:val="99"/>
    <w:semiHidden/>
    <w:unhideWhenUsed/>
    <w:rsid w:val="008E3FDE"/>
    <w:rPr>
      <w:sz w:val="16"/>
      <w:szCs w:val="16"/>
    </w:rPr>
  </w:style>
  <w:style w:type="paragraph" w:styleId="CommentText">
    <w:name w:val="annotation text"/>
    <w:basedOn w:val="Normal"/>
    <w:link w:val="CommentTextChar"/>
    <w:uiPriority w:val="99"/>
    <w:semiHidden/>
    <w:unhideWhenUsed/>
    <w:rsid w:val="008E3FDE"/>
    <w:pPr>
      <w:spacing w:line="240" w:lineRule="auto"/>
    </w:pPr>
    <w:rPr>
      <w:sz w:val="20"/>
      <w:szCs w:val="20"/>
    </w:rPr>
  </w:style>
  <w:style w:type="character" w:customStyle="1" w:styleId="CommentTextChar">
    <w:name w:val="Comment Text Char"/>
    <w:basedOn w:val="DefaultParagraphFont"/>
    <w:link w:val="CommentText"/>
    <w:uiPriority w:val="99"/>
    <w:semiHidden/>
    <w:rsid w:val="008E3FDE"/>
    <w:rPr>
      <w:sz w:val="20"/>
      <w:szCs w:val="20"/>
    </w:rPr>
  </w:style>
  <w:style w:type="paragraph" w:styleId="CommentSubject">
    <w:name w:val="annotation subject"/>
    <w:basedOn w:val="CommentText"/>
    <w:next w:val="CommentText"/>
    <w:link w:val="CommentSubjectChar"/>
    <w:uiPriority w:val="99"/>
    <w:semiHidden/>
    <w:unhideWhenUsed/>
    <w:rsid w:val="008E3FDE"/>
    <w:rPr>
      <w:b/>
      <w:bCs/>
    </w:rPr>
  </w:style>
  <w:style w:type="character" w:customStyle="1" w:styleId="CommentSubjectChar">
    <w:name w:val="Comment Subject Char"/>
    <w:basedOn w:val="CommentTextChar"/>
    <w:link w:val="CommentSubject"/>
    <w:uiPriority w:val="99"/>
    <w:semiHidden/>
    <w:rsid w:val="008E3F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alth.gov.au/cdi" TargetMode="External"/><Relationship Id="rId18" Type="http://schemas.openxmlformats.org/officeDocument/2006/relationships/hyperlink" Target="http://www.itsanhonour.gov.au/"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creativecommons.org/licenses/by-nc-nd/4.0/legalcode" TargetMode="External"/><Relationship Id="rId2" Type="http://schemas.openxmlformats.org/officeDocument/2006/relationships/customXml" Target="../customXml/item2.xml"/><Relationship Id="rId16" Type="http://schemas.openxmlformats.org/officeDocument/2006/relationships/hyperlink" Target="mailto:cdi.editor@health.gov.au" TargetMode="External"/><Relationship Id="rId20" Type="http://schemas.openxmlformats.org/officeDocument/2006/relationships/hyperlink" Target="http://www.health.gov.au/cd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health.gov.au/cdi"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copyright@health.gov.au"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cdi.editor@health.gov.a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CDESS\ZoFE\CDI\Desktopping\OpenCDI\2020\template-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AEAF42-01C6-4A35-86A4-998FF7D0B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template-2020.dotm</Template>
  <TotalTime>5</TotalTime>
  <Pages>4</Pages>
  <Words>1178</Words>
  <Characters>7837</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Communicable Diseases Intelligence 2020 - Antimicrobial resistance and antibiotic use in Timor-Leste: building surveillance capacity with a One Health approach</vt:lpstr>
    </vt:vector>
  </TitlesOfParts>
  <Company>Australian Government, Department of Health</Company>
  <LinksUpToDate>false</LinksUpToDate>
  <CharactersWithSpaces>8998</CharactersWithSpaces>
  <SharedDoc>false</SharedDoc>
  <HyperlinkBase>http://www.health.gov.au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2020 - Antimicrobial resistance and antibiotic use in Timor-Leste: building surveillance capacity with a One Health approach</dc:title>
  <dc:creator>Joshua R Francis, Nevio Sarmento, Anthony D K Draper, Ian Marr, Shawn Ting, Nicholas Fancourt,</dc:creator>
  <dc:description>© Commonwealth of Australia CC BY-NC-ND ISSN: 2209-6051 (Online)</dc:description>
  <cp:lastModifiedBy>YOUSEFI, Kasra</cp:lastModifiedBy>
  <cp:revision>9</cp:revision>
  <cp:lastPrinted>2018-05-10T02:19:00Z</cp:lastPrinted>
  <dcterms:created xsi:type="dcterms:W3CDTF">2019-12-09T01:05:00Z</dcterms:created>
  <dcterms:modified xsi:type="dcterms:W3CDTF">2019-12-22T23:09:00Z</dcterms:modified>
  <cp:category>Notice to readers</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2020</vt:lpwstr>
  </property>
  <property fmtid="{D5CDD505-2E9C-101B-9397-08002B2CF9AE}" pid="3" name="Vol">
    <vt:i4>44</vt:i4>
  </property>
  <property fmtid="{D5CDD505-2E9C-101B-9397-08002B2CF9AE}" pid="4" name="ePubDate">
    <vt:lpwstr>15/1/2020</vt:lpwstr>
  </property>
  <property fmtid="{D5CDD505-2E9C-101B-9397-08002B2CF9AE}" pid="5" name="DOI">
    <vt:lpwstr>https://doi.org/10.33321/cdi.2020.44.1</vt:lpwstr>
  </property>
</Properties>
</file>