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DE0ACC" w14:textId="46200F6A" w:rsidR="00B50D8D" w:rsidRPr="00341720" w:rsidRDefault="00282B56" w:rsidP="00341720">
      <w:pPr>
        <w:pStyle w:val="CDIDOIinformation"/>
      </w:pPr>
      <w:r>
        <w:fldChar w:fldCharType="begin"/>
      </w:r>
      <w:r>
        <w:instrText xml:space="preserve"> DOCPROPERTY  Year  \* MERGEFORMAT </w:instrText>
      </w:r>
      <w:r>
        <w:fldChar w:fldCharType="separate"/>
      </w:r>
      <w:r w:rsidR="001373CD">
        <w:t>2025</w:t>
      </w:r>
      <w:r>
        <w:fldChar w:fldCharType="end"/>
      </w:r>
      <w:r w:rsidR="00A623E8" w:rsidRPr="00341720">
        <w:t xml:space="preserve"> • </w:t>
      </w:r>
      <w:r w:rsidR="00B50D8D" w:rsidRPr="00341720">
        <w:t xml:space="preserve">Volume </w:t>
      </w:r>
      <w:fldSimple w:instr=" DOCPROPERTY  Vol  \* MERGEFORMAT ">
        <w:r w:rsidR="001373CD">
          <w:t>49</w:t>
        </w:r>
      </w:fldSimple>
      <w:r w:rsidR="00725C33" w:rsidRPr="00341720">
        <w:t xml:space="preserve"> </w:t>
      </w:r>
      <w:r w:rsidR="008E3F81" w:rsidRPr="00341720">
        <w:t>•</w:t>
      </w:r>
      <w:r w:rsidR="00725C33" w:rsidRPr="00341720">
        <w:t xml:space="preserve"> </w:t>
      </w:r>
      <w:fldSimple w:instr=" DOCPROPERTY  DOI  \* MERGEFORMAT ">
        <w:r w:rsidR="00F22C78">
          <w:t>https://doi.org/10.33321/cdi.2025.49.004</w:t>
        </w:r>
      </w:fldSimple>
      <w:r w:rsidR="00725C33" w:rsidRPr="00341720">
        <w:t xml:space="preserve"> </w:t>
      </w:r>
      <w:r w:rsidR="00D20FB5" w:rsidRPr="00341720">
        <w:t>•</w:t>
      </w:r>
      <w:r w:rsidR="00D20FB5">
        <w:t xml:space="preserve"> </w:t>
      </w:r>
      <w:r w:rsidR="00D20FB5" w:rsidRPr="00341720">
        <w:t xml:space="preserve">Electronic publication date: </w:t>
      </w:r>
      <w:fldSimple w:instr=" DOCPROPERTY  ePubDate  \* MERGEFORMAT ">
        <w:r w:rsidR="00F22C78">
          <w:t>22/01/2025</w:t>
        </w:r>
      </w:fldSimple>
    </w:p>
    <w:p w14:paraId="0E50EC9C" w14:textId="2D14BAAA" w:rsidR="006B16A5" w:rsidRPr="006B16A5" w:rsidRDefault="00F22C78" w:rsidP="00F22C78">
      <w:pPr>
        <w:pStyle w:val="Title"/>
        <w:divId w:val="935526654"/>
      </w:pPr>
      <w:r>
        <w:t>The detection of Japanese encephalitis virus (JEV) in the Murray region, New South Wales:</w:t>
      </w:r>
      <w:r>
        <w:br/>
        <w:t>a public health investigation</w:t>
      </w:r>
    </w:p>
    <w:p w14:paraId="5191CE80" w14:textId="4D5B2D21" w:rsidR="007A33B9" w:rsidRPr="0037146D" w:rsidRDefault="00F22C78" w:rsidP="0037146D">
      <w:pPr>
        <w:pStyle w:val="Subtitle"/>
        <w:divId w:val="935526654"/>
      </w:pPr>
      <w:r w:rsidRPr="00F22C78">
        <w:t>Gamuchirai M Shava, Katherine Todd, Tracey Oakman, Saifur Rahman, Linda Hueston, Keira</w:t>
      </w:r>
      <w:r>
        <w:t> </w:t>
      </w:r>
      <w:r w:rsidRPr="00F22C78">
        <w:t>Glasgow, April Roberts-Witteveen</w:t>
      </w:r>
    </w:p>
    <w:p w14:paraId="61ABD652" w14:textId="77777777" w:rsidR="0037146D" w:rsidRDefault="0037146D" w:rsidP="0037146D">
      <w:pPr>
        <w:pStyle w:val="Heading1"/>
        <w:divId w:val="935526654"/>
        <w:rPr>
          <w:lang w:val="en-GB"/>
        </w:rPr>
      </w:pPr>
      <w:r>
        <w:rPr>
          <w:lang w:val="en-GB"/>
        </w:rPr>
        <w:t>Abstract</w:t>
      </w:r>
    </w:p>
    <w:p w14:paraId="20E9F715" w14:textId="77777777" w:rsidR="00F22C78" w:rsidRPr="001701D6" w:rsidRDefault="00F22C78" w:rsidP="00F22C78">
      <w:pPr>
        <w:divId w:val="935526654"/>
        <w:rPr>
          <w:lang w:val="en-GB"/>
        </w:rPr>
      </w:pPr>
      <w:r w:rsidRPr="001701D6">
        <w:rPr>
          <w:lang w:val="en-GB"/>
        </w:rPr>
        <w:t xml:space="preserve">The detection of Japanese encephalitis virus (JEV) in pigs, at four piggeries in the Murray region in February 2022, prompted a public health investigation (PHI) by the New South Wales Department of Health (NSW Health) to identify people at greatest risk of infection. The PHI included three components: a vaccination clinic and accompanying clinic questionnaire; a serological investigation; and a cross-sectional study for consenting Australian-born participants who completed an extended questionnaire after receiving their serological results. The goals were to vaccinate a presumably naïve population to reduce associated risk and to understand the seroprevalence among Australian-born piggery workers. </w:t>
      </w:r>
    </w:p>
    <w:p w14:paraId="4AB89215" w14:textId="77777777" w:rsidR="00F22C78" w:rsidRPr="001701D6" w:rsidRDefault="00F22C78" w:rsidP="00F22C78">
      <w:pPr>
        <w:divId w:val="935526654"/>
        <w:rPr>
          <w:lang w:val="en-GB"/>
        </w:rPr>
      </w:pPr>
      <w:r w:rsidRPr="001701D6">
        <w:rPr>
          <w:lang w:val="en-GB"/>
        </w:rPr>
        <w:t>A total of 322 farm workers and/or residents attended clinics organised by NSW Health; 311 received a JEV vaccine (96.6%); and 302 (94%) completed a clinic questionnaire. Of 178 people from whom serology was collected (55.3%), a total of 165 returned Defined Epitope Blocking enzyme-linked immunosorbent assay (DEB ELISA) results; 153/165 of those returning DEB ELISA results were Australian born. The study’s cross-sectional component involved 129 participants, ten of whom were seropositive.</w:t>
      </w:r>
    </w:p>
    <w:p w14:paraId="25C904F9" w14:textId="77777777" w:rsidR="00F22C78" w:rsidRDefault="00F22C78" w:rsidP="00F22C78">
      <w:pPr>
        <w:divId w:val="935526654"/>
        <w:rPr>
          <w:lang w:val="en-GB"/>
        </w:rPr>
      </w:pPr>
      <w:r w:rsidRPr="001701D6">
        <w:rPr>
          <w:lang w:val="en-GB"/>
        </w:rPr>
        <w:t>The overall seropositivity for 153 Australian-born participants across the identified piggeries was 6.5% (95% confidence interval [95% CI]: 3.4–12.0%), suggesting that JEV was circulating in piggeries, and plausibly more broadly, within the Murray region prior to serology collection. Male sex and working on, or visiting, a farm other than their regular workplace were both associated with JEV seropositivity (odds ratio [OR]: 5.4; 95% CI: 0.94–137.1 and OR: 37; 95% CI: 0.92–22.08 respectively).</w:t>
      </w:r>
      <w:r>
        <w:rPr>
          <w:lang w:val="en-GB"/>
        </w:rPr>
        <w:br w:type="page"/>
      </w:r>
    </w:p>
    <w:p w14:paraId="4D135B50" w14:textId="77777777" w:rsidR="00F22C78" w:rsidRPr="001701D6" w:rsidRDefault="00F22C78" w:rsidP="00F22C78">
      <w:pPr>
        <w:pStyle w:val="Normal-morespace"/>
        <w:divId w:val="935526654"/>
        <w:rPr>
          <w:lang w:val="en-GB"/>
        </w:rPr>
      </w:pPr>
      <w:r w:rsidRPr="001701D6">
        <w:rPr>
          <w:lang w:val="en-GB"/>
        </w:rPr>
        <w:lastRenderedPageBreak/>
        <w:t>JEV vaccination uptake was high among piggery workers in the Murray region. Further studies are needed to determine if piggery workers have an increased risk of developing JEV compared to people who do not work or live on JEV-affected piggeries. The reasons for the emergence of JEV in pigs in the Murray region remain unclear.</w:t>
      </w:r>
    </w:p>
    <w:p w14:paraId="7424B88E" w14:textId="408F2740" w:rsidR="00620509" w:rsidRPr="006D508B" w:rsidRDefault="00620509" w:rsidP="00F22C78">
      <w:pPr>
        <w:pStyle w:val="CDIBoxtext-Green"/>
        <w:divId w:val="935526654"/>
        <w:rPr>
          <w:lang w:val="en-GB"/>
        </w:rPr>
      </w:pPr>
      <w:r w:rsidRPr="0037146D">
        <w:rPr>
          <w:lang w:val="en-GB"/>
        </w:rPr>
        <w:t xml:space="preserve">Keywords: </w:t>
      </w:r>
      <w:r w:rsidR="00F22C78" w:rsidRPr="00F22C78">
        <w:rPr>
          <w:lang w:val="en-GB"/>
        </w:rPr>
        <w:t xml:space="preserve">emerging diseases; infectious diseases; Japanese encephalitis; flaviviruses; mosquito; </w:t>
      </w:r>
      <w:r w:rsidR="00F22C78">
        <w:rPr>
          <w:lang w:val="en-GB"/>
        </w:rPr>
        <w:br/>
      </w:r>
      <w:r w:rsidR="00F22C78" w:rsidRPr="00F22C78">
        <w:rPr>
          <w:lang w:val="en-GB"/>
        </w:rPr>
        <w:t xml:space="preserve">cross-sectional study; vaccines; </w:t>
      </w:r>
      <w:proofErr w:type="spellStart"/>
      <w:r w:rsidR="00F22C78" w:rsidRPr="00F22C78">
        <w:rPr>
          <w:lang w:val="en-GB"/>
        </w:rPr>
        <w:t>sero</w:t>
      </w:r>
      <w:proofErr w:type="spellEnd"/>
      <w:r w:rsidR="00F22C78" w:rsidRPr="00F22C78">
        <w:rPr>
          <w:lang w:val="en-GB"/>
        </w:rPr>
        <w:t>-survey; rapid investigation</w:t>
      </w:r>
    </w:p>
    <w:p w14:paraId="052BB484" w14:textId="77777777" w:rsidR="008A0736" w:rsidRDefault="008A0736" w:rsidP="008A0736">
      <w:pPr>
        <w:pStyle w:val="Heading1"/>
        <w:divId w:val="935526654"/>
      </w:pPr>
      <w:r>
        <w:t>Introduction</w:t>
      </w:r>
    </w:p>
    <w:p w14:paraId="66B7FB03" w14:textId="77777777" w:rsidR="00F22C78" w:rsidRPr="001701D6" w:rsidRDefault="00F22C78" w:rsidP="00F22C78">
      <w:pPr>
        <w:divId w:val="935526654"/>
        <w:rPr>
          <w:lang w:val="en-GB"/>
        </w:rPr>
      </w:pPr>
      <w:r w:rsidRPr="001701D6">
        <w:rPr>
          <w:lang w:val="en-GB"/>
        </w:rPr>
        <w:t xml:space="preserve">Japanese Encephalitis Virus (JEV) belongs to the </w:t>
      </w:r>
      <w:r w:rsidRPr="001701D6">
        <w:rPr>
          <w:i/>
          <w:iCs/>
          <w:lang w:val="en-GB"/>
        </w:rPr>
        <w:t>Orthoflavivirus</w:t>
      </w:r>
      <w:r w:rsidRPr="001701D6">
        <w:rPr>
          <w:lang w:val="en-GB"/>
        </w:rPr>
        <w:t xml:space="preserve"> genus</w:t>
      </w:r>
      <w:r w:rsidRPr="001701D6">
        <w:rPr>
          <w:vertAlign w:val="superscript"/>
          <w:lang w:val="en-GB"/>
        </w:rPr>
        <w:t>1</w:t>
      </w:r>
      <w:r w:rsidRPr="001701D6">
        <w:rPr>
          <w:lang w:val="en-GB"/>
        </w:rPr>
        <w:t xml:space="preserve"> within the </w:t>
      </w:r>
      <w:r w:rsidRPr="001701D6">
        <w:rPr>
          <w:i/>
          <w:iCs/>
          <w:lang w:val="en-GB"/>
        </w:rPr>
        <w:t>Flaviviridae</w:t>
      </w:r>
      <w:r w:rsidRPr="001701D6">
        <w:rPr>
          <w:lang w:val="en-GB"/>
        </w:rPr>
        <w:t xml:space="preserve"> family,</w:t>
      </w:r>
      <w:r w:rsidRPr="001701D6">
        <w:rPr>
          <w:vertAlign w:val="superscript"/>
          <w:lang w:val="en-GB"/>
        </w:rPr>
        <w:t>2,3</w:t>
      </w:r>
      <w:r w:rsidRPr="001701D6">
        <w:rPr>
          <w:lang w:val="en-GB"/>
        </w:rPr>
        <w:t xml:space="preserve"> and is most closely related to other flaviviruses such as Murray Valley encephalitis virus (MVEV), Alfuy virus (ALFV), St Louis encephalitis virus (SLEV) and West Nile virus (WNV), including Kunjin virus (KUNV).</w:t>
      </w:r>
      <w:r w:rsidRPr="001701D6">
        <w:rPr>
          <w:vertAlign w:val="superscript"/>
          <w:lang w:val="en-GB"/>
        </w:rPr>
        <w:t>2</w:t>
      </w:r>
    </w:p>
    <w:p w14:paraId="3B258EE3" w14:textId="77777777" w:rsidR="00F22C78" w:rsidRPr="001701D6" w:rsidRDefault="00F22C78" w:rsidP="00F22C78">
      <w:pPr>
        <w:divId w:val="935526654"/>
        <w:rPr>
          <w:lang w:val="en-GB"/>
        </w:rPr>
      </w:pPr>
      <w:r w:rsidRPr="001701D6">
        <w:rPr>
          <w:lang w:val="en-GB"/>
        </w:rPr>
        <w:t>Many infections are asymptomatic or mild, with only one in 100 cases thought to develop encephalitic neurological illness, and this can lead to the underreporting of JEV cases globally, as most cases are reported with severe clinical symptoms of JEV.</w:t>
      </w:r>
      <w:r w:rsidRPr="001701D6">
        <w:rPr>
          <w:vertAlign w:val="superscript"/>
          <w:lang w:val="en-GB"/>
        </w:rPr>
        <w:t>4–6</w:t>
      </w:r>
      <w:r w:rsidRPr="001701D6">
        <w:rPr>
          <w:lang w:val="en-GB"/>
        </w:rPr>
        <w:t xml:space="preserve"> Severe symptoms include neck stiffness, paralysis, mental status changes such as disorientation, movement disorders and light sensitivity.</w:t>
      </w:r>
      <w:r w:rsidRPr="001701D6">
        <w:rPr>
          <w:vertAlign w:val="superscript"/>
          <w:lang w:val="en-GB"/>
        </w:rPr>
        <w:t>7,8</w:t>
      </w:r>
      <w:r w:rsidRPr="001701D6">
        <w:rPr>
          <w:lang w:val="en-GB"/>
        </w:rPr>
        <w:t xml:space="preserve"> Treatment is through supportive therapies only. </w:t>
      </w:r>
    </w:p>
    <w:p w14:paraId="2AE76A6A" w14:textId="77777777" w:rsidR="00F22C78" w:rsidRPr="001701D6" w:rsidRDefault="00F22C78" w:rsidP="00F22C78">
      <w:pPr>
        <w:divId w:val="935526654"/>
        <w:rPr>
          <w:lang w:val="en-GB"/>
        </w:rPr>
      </w:pPr>
      <w:r w:rsidRPr="001701D6">
        <w:rPr>
          <w:lang w:val="en-GB"/>
        </w:rPr>
        <w:t>JEV is maintained through an enzootic cycle between mosquito vectors and reservoir hosts.</w:t>
      </w:r>
      <w:r w:rsidRPr="001701D6">
        <w:rPr>
          <w:vertAlign w:val="superscript"/>
          <w:lang w:val="en-GB"/>
        </w:rPr>
        <w:t>2,9</w:t>
      </w:r>
      <w:r w:rsidRPr="001701D6">
        <w:rPr>
          <w:lang w:val="en-GB"/>
        </w:rPr>
        <w:t xml:space="preserve"> The major Australian JEV vector is </w:t>
      </w:r>
      <w:r w:rsidRPr="001701D6">
        <w:rPr>
          <w:i/>
          <w:iCs/>
          <w:lang w:val="en-GB"/>
        </w:rPr>
        <w:t>Culex annulirostris</w:t>
      </w:r>
      <w:r w:rsidRPr="001701D6">
        <w:rPr>
          <w:lang w:val="en-GB"/>
        </w:rPr>
        <w:t>, but other species are also thought to be capable vectors.</w:t>
      </w:r>
      <w:r w:rsidRPr="001701D6">
        <w:rPr>
          <w:vertAlign w:val="superscript"/>
          <w:lang w:val="en-GB"/>
        </w:rPr>
        <w:t>10,11</w:t>
      </w:r>
      <w:r w:rsidRPr="001701D6">
        <w:rPr>
          <w:lang w:val="en-GB"/>
        </w:rPr>
        <w:t xml:space="preserve"> The virus is transmitted through the bite of an infected mosquito.</w:t>
      </w:r>
      <w:r w:rsidRPr="001701D6">
        <w:rPr>
          <w:vertAlign w:val="superscript"/>
          <w:lang w:val="en-GB"/>
        </w:rPr>
        <w:t>9</w:t>
      </w:r>
      <w:r w:rsidRPr="001701D6">
        <w:rPr>
          <w:lang w:val="en-GB"/>
        </w:rPr>
        <w:t xml:space="preserve"> Humans and horses are ‘incidental dead-end’ hosts: mosquitoes cannot be infected by biting an infected human or horse, due to their low-level and brief viraemia.</w:t>
      </w:r>
      <w:r w:rsidRPr="001701D6">
        <w:rPr>
          <w:vertAlign w:val="superscript"/>
          <w:lang w:val="en-GB"/>
        </w:rPr>
        <w:t>10,12</w:t>
      </w:r>
      <w:r w:rsidRPr="001701D6">
        <w:rPr>
          <w:lang w:val="en-GB"/>
        </w:rPr>
        <w:t xml:space="preserve"> Therefore, human-to-human transmission is extremely unlikely. The role of wading birds in transmitting JEV in Australia is considered important, but difficult to quantify due to challenges in testing wild birds. Amplifying hosts, such as pigs, play an important role in viral transmission in many countries, although in Australia, their role in transmission is not yet well understood.</w:t>
      </w:r>
      <w:r w:rsidRPr="001701D6">
        <w:rPr>
          <w:vertAlign w:val="superscript"/>
          <w:lang w:val="en-GB"/>
        </w:rPr>
        <w:t>12</w:t>
      </w:r>
      <w:r w:rsidRPr="001701D6">
        <w:rPr>
          <w:lang w:val="en-GB"/>
        </w:rPr>
        <w:t xml:space="preserve"> </w:t>
      </w:r>
    </w:p>
    <w:p w14:paraId="0AEA3715" w14:textId="77777777" w:rsidR="00F22C78" w:rsidRPr="001701D6" w:rsidRDefault="00F22C78" w:rsidP="00F22C78">
      <w:pPr>
        <w:divId w:val="935526654"/>
        <w:rPr>
          <w:lang w:val="en-GB"/>
        </w:rPr>
      </w:pPr>
      <w:r w:rsidRPr="001701D6">
        <w:rPr>
          <w:lang w:val="en-GB"/>
        </w:rPr>
        <w:t>JEV causes endemic disease and is the leading cause of encephalitis in countries including China, Philippines, and other parts of Asia.</w:t>
      </w:r>
      <w:r w:rsidRPr="001701D6">
        <w:rPr>
          <w:vertAlign w:val="superscript"/>
          <w:lang w:val="en-GB"/>
        </w:rPr>
        <w:t>13</w:t>
      </w:r>
      <w:r w:rsidRPr="001701D6">
        <w:rPr>
          <w:lang w:val="en-GB"/>
        </w:rPr>
        <w:t xml:space="preserve"> In endemic countries, JEV is mostly detected in children in proximity to rice and/or pig farming.</w:t>
      </w:r>
      <w:r w:rsidRPr="001701D6">
        <w:rPr>
          <w:vertAlign w:val="superscript"/>
          <w:lang w:val="en-GB"/>
        </w:rPr>
        <w:t>2,12,14</w:t>
      </w:r>
      <w:r w:rsidRPr="001701D6">
        <w:rPr>
          <w:lang w:val="en-GB"/>
        </w:rPr>
        <w:t xml:space="preserve"> Most adults in these areas have acquired immunity either through vaccination or natural infection.</w:t>
      </w:r>
      <w:r w:rsidRPr="001701D6">
        <w:rPr>
          <w:vertAlign w:val="superscript"/>
          <w:lang w:val="en-GB"/>
        </w:rPr>
        <w:t>15,16</w:t>
      </w:r>
      <w:r w:rsidRPr="001701D6">
        <w:rPr>
          <w:lang w:val="en-GB"/>
        </w:rPr>
        <w:t xml:space="preserve"> In other countries, cases are sporadic and often imported by travellers. </w:t>
      </w:r>
    </w:p>
    <w:p w14:paraId="564FDA8C" w14:textId="77777777" w:rsidR="00F22C78" w:rsidRPr="001701D6" w:rsidRDefault="00F22C78" w:rsidP="00F22C78">
      <w:pPr>
        <w:divId w:val="935526654"/>
        <w:rPr>
          <w:lang w:val="en-GB"/>
        </w:rPr>
      </w:pPr>
      <w:r w:rsidRPr="001701D6">
        <w:rPr>
          <w:lang w:val="en-GB"/>
        </w:rPr>
        <w:t>The World Health Organization (WHO) has recommended JEV vaccination programs in countries where JEV poses a risk to public health. In endemic countries, vaccination programs primarily target children.</w:t>
      </w:r>
      <w:r w:rsidRPr="001701D6">
        <w:rPr>
          <w:vertAlign w:val="superscript"/>
          <w:lang w:val="en-GB"/>
        </w:rPr>
        <w:t>14</w:t>
      </w:r>
      <w:r w:rsidRPr="001701D6">
        <w:rPr>
          <w:lang w:val="en-GB"/>
        </w:rPr>
        <w:t xml:space="preserve"> Fifteen countries in Asia have national or subnational JEV public vaccination programs, including the outer Torres Strait Islands of Australia.</w:t>
      </w:r>
      <w:r w:rsidRPr="001701D6">
        <w:rPr>
          <w:vertAlign w:val="superscript"/>
          <w:lang w:val="en-GB"/>
        </w:rPr>
        <w:t>17</w:t>
      </w:r>
      <w:r w:rsidRPr="001701D6">
        <w:rPr>
          <w:lang w:val="en-GB"/>
        </w:rPr>
        <w:t xml:space="preserve"> </w:t>
      </w:r>
    </w:p>
    <w:p w14:paraId="5080165C" w14:textId="77777777" w:rsidR="00F22C78" w:rsidRPr="001701D6" w:rsidRDefault="00F22C78" w:rsidP="00F22C78">
      <w:pPr>
        <w:divId w:val="935526654"/>
        <w:rPr>
          <w:lang w:val="en-GB"/>
        </w:rPr>
      </w:pPr>
      <w:r w:rsidRPr="001701D6">
        <w:rPr>
          <w:lang w:val="en-GB"/>
        </w:rPr>
        <w:t>Four JEV vaccine classes are currently available worldwide. A live vaccine (Imojev) and an inactivated vaccine (JEspect)</w:t>
      </w:r>
      <w:r w:rsidRPr="001701D6">
        <w:rPr>
          <w:vertAlign w:val="superscript"/>
          <w:lang w:val="en-GB"/>
        </w:rPr>
        <w:t>10,18</w:t>
      </w:r>
      <w:r w:rsidRPr="001701D6">
        <w:rPr>
          <w:lang w:val="en-GB"/>
        </w:rPr>
        <w:t xml:space="preserve"> are approved for use in Australia. Both have high immunogenicity and a low incidence of adverse events.</w:t>
      </w:r>
      <w:r w:rsidRPr="001701D6">
        <w:rPr>
          <w:vertAlign w:val="superscript"/>
          <w:lang w:val="en-GB"/>
        </w:rPr>
        <w:t>10,18</w:t>
      </w:r>
      <w:r w:rsidRPr="001701D6">
        <w:rPr>
          <w:lang w:val="en-GB"/>
        </w:rPr>
        <w:t xml:space="preserve"> Prior to recognition of locally acquired cases in Australia, JEV vaccination was recommended for Australians travelling to known endemic countries for a month or longer; for laboratory workers with potential occupational exposure to JEV; and for people living or working on the outer islands of the Torres Strait.</w:t>
      </w:r>
      <w:r w:rsidRPr="001701D6">
        <w:rPr>
          <w:vertAlign w:val="superscript"/>
          <w:lang w:val="en-GB"/>
        </w:rPr>
        <w:t>18</w:t>
      </w:r>
      <w:r w:rsidRPr="001701D6">
        <w:rPr>
          <w:lang w:val="en-GB"/>
        </w:rPr>
        <w:t xml:space="preserve"> </w:t>
      </w:r>
    </w:p>
    <w:p w14:paraId="5CE697AB" w14:textId="77777777" w:rsidR="00F22C78" w:rsidRPr="001701D6" w:rsidRDefault="00F22C78" w:rsidP="00F22C78">
      <w:pPr>
        <w:divId w:val="935526654"/>
        <w:rPr>
          <w:lang w:val="en-GB"/>
        </w:rPr>
      </w:pPr>
      <w:r w:rsidRPr="001701D6">
        <w:rPr>
          <w:lang w:val="en-GB"/>
        </w:rPr>
        <w:lastRenderedPageBreak/>
        <w:t xml:space="preserve">Prior to 2021, JEV had never been detected in southern mainland Australia. Two previous outbreaks had been detected in the relatively sparsely populated very northern tip of Australia in 1995 and 1998. The 1995 outbreak resulted in three confirmed human cases of JEV; the 1998 outbreak resulted in five cases with two </w:t>
      </w:r>
      <w:proofErr w:type="gramStart"/>
      <w:r w:rsidRPr="001701D6">
        <w:rPr>
          <w:lang w:val="en-GB"/>
        </w:rPr>
        <w:t>deaths, and</w:t>
      </w:r>
      <w:proofErr w:type="gramEnd"/>
      <w:r w:rsidRPr="001701D6">
        <w:rPr>
          <w:lang w:val="en-GB"/>
        </w:rPr>
        <w:t xml:space="preserve"> was attributed to cyclonic-wind-transported mosquitoes from Papua New Guinea into the Torres Strait.</w:t>
      </w:r>
      <w:r w:rsidRPr="001701D6">
        <w:rPr>
          <w:vertAlign w:val="superscript"/>
          <w:lang w:val="en-GB"/>
        </w:rPr>
        <w:t>10,19</w:t>
      </w:r>
      <w:r w:rsidRPr="001701D6">
        <w:rPr>
          <w:lang w:val="en-GB"/>
        </w:rPr>
        <w:t xml:space="preserve"> Subsequent sentinel pig surveillance and mosquito trapping since 1998 indicated that JEV was now endemic in the Torres Strait.</w:t>
      </w:r>
      <w:r w:rsidRPr="001701D6">
        <w:rPr>
          <w:vertAlign w:val="superscript"/>
          <w:lang w:val="en-GB"/>
        </w:rPr>
        <w:t>20</w:t>
      </w:r>
      <w:r w:rsidRPr="001701D6">
        <w:rPr>
          <w:lang w:val="en-GB"/>
        </w:rPr>
        <w:t xml:space="preserve"> </w:t>
      </w:r>
    </w:p>
    <w:p w14:paraId="15556991" w14:textId="77777777" w:rsidR="00F22C78" w:rsidRPr="001701D6" w:rsidRDefault="00F22C78" w:rsidP="00F22C78">
      <w:pPr>
        <w:divId w:val="935526654"/>
        <w:rPr>
          <w:lang w:val="en-GB"/>
        </w:rPr>
      </w:pPr>
      <w:r w:rsidRPr="001701D6">
        <w:rPr>
          <w:lang w:val="en-GB"/>
        </w:rPr>
        <w:t>JEV became nationally notifiable in Australia in 2001.</w:t>
      </w:r>
      <w:r w:rsidRPr="001701D6">
        <w:rPr>
          <w:vertAlign w:val="superscript"/>
          <w:lang w:val="en-GB"/>
        </w:rPr>
        <w:t>21</w:t>
      </w:r>
      <w:r w:rsidRPr="001701D6">
        <w:rPr>
          <w:lang w:val="en-GB"/>
        </w:rPr>
        <w:t xml:space="preserve"> Fifteen cases were reported in Australia from 2012 to early 2022, of whom 14 were returned overseas travellers.</w:t>
      </w:r>
      <w:r w:rsidRPr="001701D6">
        <w:rPr>
          <w:vertAlign w:val="superscript"/>
          <w:lang w:val="en-GB"/>
        </w:rPr>
        <w:t>21,22</w:t>
      </w:r>
      <w:r w:rsidRPr="001701D6">
        <w:rPr>
          <w:lang w:val="en-GB"/>
        </w:rPr>
        <w:t xml:space="preserve"> One case was locally acquired in the Tiwi Islands of the Northern Territory. No locally-acquired human cases had previously been detected in the south-eastern areas of Australia, including in New South Wales, prior to 2022.</w:t>
      </w:r>
      <w:r w:rsidRPr="001701D6">
        <w:rPr>
          <w:vertAlign w:val="superscript"/>
          <w:lang w:val="en-GB"/>
        </w:rPr>
        <w:t>23</w:t>
      </w:r>
    </w:p>
    <w:p w14:paraId="08BFAF7A" w14:textId="77777777" w:rsidR="00F22C78" w:rsidRPr="001701D6" w:rsidRDefault="00F22C78" w:rsidP="00F22C78">
      <w:pPr>
        <w:divId w:val="935526654"/>
        <w:rPr>
          <w:lang w:val="en-GB"/>
        </w:rPr>
      </w:pPr>
      <w:r w:rsidRPr="001701D6">
        <w:rPr>
          <w:lang w:val="en-GB"/>
        </w:rPr>
        <w:t>In February 2022, JEV was detected in pigs at six piggeries in New South Wales,</w:t>
      </w:r>
      <w:r w:rsidRPr="001701D6">
        <w:rPr>
          <w:vertAlign w:val="superscript"/>
          <w:lang w:val="en-GB"/>
        </w:rPr>
        <w:t>24</w:t>
      </w:r>
      <w:r w:rsidRPr="001701D6">
        <w:rPr>
          <w:lang w:val="en-GB"/>
        </w:rPr>
        <w:t xml:space="preserve"> including at four piggeries in the Murray region. Investigations into the increased numbers of pig abortions and deaths in many areas</w:t>
      </w:r>
      <w:r w:rsidRPr="001701D6">
        <w:rPr>
          <w:vertAlign w:val="superscript"/>
          <w:lang w:val="en-GB"/>
        </w:rPr>
        <w:t>25</w:t>
      </w:r>
      <w:r w:rsidRPr="001701D6">
        <w:rPr>
          <w:lang w:val="en-GB"/>
        </w:rPr>
        <w:t xml:space="preserve"> resulted in 70 affected farms being identified across the Australian states of Victoria, South Australia, Queensland, and New South Wales by the end of 2022.</w:t>
      </w:r>
      <w:r w:rsidRPr="001701D6">
        <w:rPr>
          <w:vertAlign w:val="superscript"/>
          <w:lang w:val="en-GB"/>
        </w:rPr>
        <w:t>26</w:t>
      </w:r>
      <w:r w:rsidRPr="001701D6">
        <w:rPr>
          <w:lang w:val="en-GB"/>
        </w:rPr>
        <w:t xml:space="preserve"> </w:t>
      </w:r>
    </w:p>
    <w:p w14:paraId="3CBB9FF5" w14:textId="77777777" w:rsidR="00F22C78" w:rsidRPr="001701D6" w:rsidRDefault="00F22C78" w:rsidP="00F22C78">
      <w:pPr>
        <w:divId w:val="935526654"/>
        <w:rPr>
          <w:lang w:val="en-GB"/>
        </w:rPr>
      </w:pPr>
      <w:r w:rsidRPr="001701D6">
        <w:rPr>
          <w:lang w:val="en-GB"/>
        </w:rPr>
        <w:t>Investigations into humans with encephalitis and other clinically consistent illnesses since January 2021 resulted in the detection of 45 human infections in Australia across five jurisdictions (as of June 2023).</w:t>
      </w:r>
      <w:r w:rsidRPr="001701D6">
        <w:rPr>
          <w:vertAlign w:val="superscript"/>
          <w:lang w:val="en-GB"/>
        </w:rPr>
        <w:t>27</w:t>
      </w:r>
      <w:r w:rsidRPr="001701D6">
        <w:rPr>
          <w:lang w:val="en-GB"/>
        </w:rPr>
        <w:t xml:space="preserve"> Eight confirmed JEV cases were residents of, and exposed within, the Murray region of southern New South Wales, with onsets from December 2021 to February 2022.</w:t>
      </w:r>
      <w:r w:rsidRPr="001701D6">
        <w:rPr>
          <w:vertAlign w:val="superscript"/>
          <w:lang w:val="en-GB"/>
        </w:rPr>
        <w:t>28</w:t>
      </w:r>
      <w:r w:rsidRPr="001701D6">
        <w:rPr>
          <w:lang w:val="en-GB"/>
        </w:rPr>
        <w:t xml:space="preserve"> </w:t>
      </w:r>
    </w:p>
    <w:p w14:paraId="04F43C2B" w14:textId="77777777" w:rsidR="00F22C78" w:rsidRDefault="00F22C78" w:rsidP="00F22C78">
      <w:pPr>
        <w:divId w:val="935526654"/>
        <w:rPr>
          <w:lang w:val="en-GB"/>
        </w:rPr>
      </w:pPr>
      <w:r w:rsidRPr="001701D6">
        <w:rPr>
          <w:lang w:val="en-GB"/>
        </w:rPr>
        <w:t>JEV was declared a Communicable Disease of National Significance on 4 March 2022.</w:t>
      </w:r>
      <w:r w:rsidRPr="001701D6">
        <w:rPr>
          <w:vertAlign w:val="superscript"/>
          <w:lang w:val="en-GB"/>
        </w:rPr>
        <w:t>29</w:t>
      </w:r>
      <w:r w:rsidRPr="001701D6">
        <w:rPr>
          <w:lang w:val="en-GB"/>
        </w:rPr>
        <w:t xml:space="preserve"> On 24 March 2022, the Australian Government Department of Health and Aged Care recommended and funded JEV vaccine for people with direct exposure or proximity to pigs and mosquitoes, and/or high-level occupational exposures, in addition to the existing eligible groups.</w:t>
      </w:r>
      <w:r w:rsidRPr="001701D6">
        <w:rPr>
          <w:vertAlign w:val="superscript"/>
          <w:lang w:val="en-GB"/>
        </w:rPr>
        <w:t>29</w:t>
      </w:r>
      <w:r w:rsidRPr="001701D6">
        <w:rPr>
          <w:lang w:val="en-GB"/>
        </w:rPr>
        <w:t xml:space="preserve"> </w:t>
      </w:r>
    </w:p>
    <w:p w14:paraId="78B8EA11" w14:textId="59116943" w:rsidR="008A0736" w:rsidRDefault="00F22C78" w:rsidP="00F22C78">
      <w:pPr>
        <w:pStyle w:val="Heading2"/>
        <w:divId w:val="935526654"/>
      </w:pPr>
      <w:r w:rsidRPr="00F22C78">
        <w:t>Aims and objectives</w:t>
      </w:r>
    </w:p>
    <w:p w14:paraId="64A55156" w14:textId="77777777" w:rsidR="00F22C78" w:rsidRPr="001701D6" w:rsidRDefault="00F22C78" w:rsidP="00F22C78">
      <w:pPr>
        <w:divId w:val="935526654"/>
        <w:rPr>
          <w:lang w:val="en-GB"/>
        </w:rPr>
      </w:pPr>
      <w:r w:rsidRPr="001701D6">
        <w:rPr>
          <w:lang w:val="en-GB"/>
        </w:rPr>
        <w:t xml:space="preserve">The primary goal of this public health investigation (PHI) was to urgently vaccinate workers and residents onsite at Murray region piggeries where JEV had been detected. Through additional opportunistic study components, we were also able to explore the prevalence of JEV among Australian-born piggery workers and/or residents and the characteristics of </w:t>
      </w:r>
      <w:proofErr w:type="spellStart"/>
      <w:r w:rsidRPr="001701D6">
        <w:rPr>
          <w:lang w:val="en-GB"/>
        </w:rPr>
        <w:t>sero</w:t>
      </w:r>
      <w:proofErr w:type="spellEnd"/>
      <w:r w:rsidRPr="001701D6">
        <w:rPr>
          <w:lang w:val="en-GB"/>
        </w:rPr>
        <w:t>-positive cases.</w:t>
      </w:r>
    </w:p>
    <w:p w14:paraId="68F87E44" w14:textId="77777777" w:rsidR="008A0736" w:rsidRDefault="008A0736" w:rsidP="008A0736">
      <w:pPr>
        <w:pStyle w:val="Heading1"/>
        <w:divId w:val="935526654"/>
        <w:rPr>
          <w:lang w:val="en-GB"/>
        </w:rPr>
      </w:pPr>
      <w:r>
        <w:rPr>
          <w:lang w:val="en-GB"/>
        </w:rPr>
        <w:t>Methods</w:t>
      </w:r>
    </w:p>
    <w:p w14:paraId="0497F955" w14:textId="77777777" w:rsidR="00F22C78" w:rsidRPr="00C42BED" w:rsidRDefault="00F22C78" w:rsidP="00F22C78">
      <w:pPr>
        <w:divId w:val="935526654"/>
        <w:rPr>
          <w:lang w:val="en-GB"/>
        </w:rPr>
      </w:pPr>
      <w:r w:rsidRPr="00C42BED">
        <w:rPr>
          <w:lang w:val="en-GB"/>
        </w:rPr>
        <w:t xml:space="preserve">This PHI was conducted in March 2022 after notification from the New South Wales Department of Primary Industries (DPI) to the New South Wales Department of Health (NSW Health) on the detection of JEV in pigs and sows of local piggeries. The investigation had three components: vaccination against JEV, serological investigation collection, and a cross-sectional study (Figure 1). </w:t>
      </w:r>
    </w:p>
    <w:p w14:paraId="5544F7C9" w14:textId="77777777" w:rsidR="00F22C78" w:rsidRPr="00C42BED" w:rsidRDefault="00F22C78" w:rsidP="00F22C78">
      <w:pPr>
        <w:divId w:val="935526654"/>
        <w:rPr>
          <w:lang w:val="en-GB"/>
        </w:rPr>
      </w:pPr>
      <w:r w:rsidRPr="00C42BED">
        <w:rPr>
          <w:lang w:val="en-GB"/>
        </w:rPr>
        <w:t xml:space="preserve">This PHI was conducted as part of the public health response under the </w:t>
      </w:r>
      <w:r w:rsidRPr="00C42BED">
        <w:rPr>
          <w:i/>
          <w:iCs/>
          <w:lang w:val="en-GB"/>
        </w:rPr>
        <w:t>Public Health Act, 2010</w:t>
      </w:r>
      <w:r w:rsidRPr="00C42BED">
        <w:rPr>
          <w:lang w:val="en-GB"/>
        </w:rPr>
        <w:t xml:space="preserve"> (NSW) to control the risk to public health by the new local detection of a notifiable condition.</w:t>
      </w:r>
      <w:r w:rsidRPr="00C42BED">
        <w:rPr>
          <w:vertAlign w:val="superscript"/>
          <w:lang w:val="en-GB"/>
        </w:rPr>
        <w:t>25</w:t>
      </w:r>
      <w:r w:rsidRPr="00C42BED">
        <w:rPr>
          <w:lang w:val="en-GB"/>
        </w:rPr>
        <w:t xml:space="preserve"> The Greater Western Human Research Ethics Committee reviewed the study protocol and was satisfied with the Chief Health Officer (CHO) authorisation provided by the investigation order.</w:t>
      </w:r>
      <w:r w:rsidRPr="00C42BED">
        <w:rPr>
          <w:vertAlign w:val="superscript"/>
          <w:lang w:val="en-GB"/>
        </w:rPr>
        <w:t>30</w:t>
      </w:r>
    </w:p>
    <w:p w14:paraId="2010ECB8" w14:textId="4EBC90E1" w:rsidR="008A0736" w:rsidRDefault="00F22C78" w:rsidP="00F22C78">
      <w:pPr>
        <w:pStyle w:val="CDITable-Title"/>
        <w:divId w:val="935526654"/>
      </w:pPr>
      <w:r w:rsidRPr="00F22C78">
        <w:lastRenderedPageBreak/>
        <w:t>Figure 1: Study flow diagram, March 2022</w:t>
      </w:r>
    </w:p>
    <w:p w14:paraId="180CE4BB" w14:textId="5A2F72A5" w:rsidR="00F22C78" w:rsidRDefault="00F22C78" w:rsidP="00F22C78">
      <w:pPr>
        <w:pStyle w:val="CDIFigure-Placeholder"/>
        <w:divId w:val="935526654"/>
      </w:pPr>
      <w:r>
        <w:rPr>
          <w:noProof/>
          <w:lang w:val="en-GB"/>
        </w:rPr>
        <w:drawing>
          <wp:inline distT="0" distB="0" distL="0" distR="0" wp14:anchorId="694E074B" wp14:editId="7780C9F1">
            <wp:extent cx="6120765" cy="3532505"/>
            <wp:effectExtent l="0" t="0" r="0" b="0"/>
            <wp:docPr id="1890217205" name="Picture 1" descr="A flow diagram showing the flow of participants from the beginning of the study. The chart shows the total number of consenting  participants in the piggery farmer serosurvey. The chart has three components: participants who completed the piggery questionnaire; questionnaire respondents who had serology collected; and participants who received the vaccination. The serology collected component flows into the seroprevalence among all workers and residents. It is also broken down into those who were Australian-born versus overseas-born; the former group includes all participants who consented to participate in the case-control stu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217205" name="Picture 1" descr="A flow diagram showing the flow of participants from the beginning of the study. The chart shows the total number of consenting  participants in the piggery farmer serosurvey. The chart has three components: participants who completed the piggery questionnaire; questionnaire respondents who had serology collected; and participants who received the vaccination. The serology collected component flows into the seroprevalence among all workers and residents. It is also broken down into those who were Australian-born versus overseas-born; the former group includes all participants who consented to participate in the case-control study."/>
                    <pic:cNvPicPr/>
                  </pic:nvPicPr>
                  <pic:blipFill>
                    <a:blip r:embed="rId9">
                      <a:extLst>
                        <a:ext uri="{28A0092B-C50C-407E-A947-70E740481C1C}">
                          <a14:useLocalDpi xmlns:a14="http://schemas.microsoft.com/office/drawing/2010/main" val="0"/>
                        </a:ext>
                      </a:extLst>
                    </a:blip>
                    <a:stretch>
                      <a:fillRect/>
                    </a:stretch>
                  </pic:blipFill>
                  <pic:spPr>
                    <a:xfrm>
                      <a:off x="0" y="0"/>
                      <a:ext cx="6120765" cy="3532505"/>
                    </a:xfrm>
                    <a:prstGeom prst="rect">
                      <a:avLst/>
                    </a:prstGeom>
                  </pic:spPr>
                </pic:pic>
              </a:graphicData>
            </a:graphic>
          </wp:inline>
        </w:drawing>
      </w:r>
    </w:p>
    <w:p w14:paraId="08439623" w14:textId="5F1E90E3" w:rsidR="00F22C78" w:rsidRDefault="00F22C78" w:rsidP="00F22C78">
      <w:pPr>
        <w:pStyle w:val="Heading2"/>
        <w:divId w:val="935526654"/>
      </w:pPr>
      <w:r w:rsidRPr="00F22C78">
        <w:t>Study population (enrolment)</w:t>
      </w:r>
    </w:p>
    <w:p w14:paraId="53F1C654" w14:textId="77777777" w:rsidR="00F22C78" w:rsidRDefault="00F22C78" w:rsidP="00F22C78">
      <w:pPr>
        <w:divId w:val="935526654"/>
        <w:rPr>
          <w:lang w:val="en-GB"/>
        </w:rPr>
      </w:pPr>
      <w:r w:rsidRPr="00C42BED">
        <w:rPr>
          <w:lang w:val="en-GB"/>
        </w:rPr>
        <w:t>Workers and contractors at identified local piggeries in the Murray region were eligible to participate because of the risk of occupational exposure to JEV. Staff had varied roles, including working directly with pigs, administrative, and office-based roles. Non-worker residents at these farms were also eligible to participate. The study population was the piggery workers and/or residents who attended NSW Health-organised vaccination clinics. The clinic questionnaire participation rate was 94%. Previous JEV vaccination was not an exclusion criterion for vaccination at the clinic. Convenience sampling from those attending the vaccination clinics provided participants for the JEV serology and cross-sectional components.</w:t>
      </w:r>
    </w:p>
    <w:p w14:paraId="4171F12F" w14:textId="64DD5250" w:rsidR="00E315AB" w:rsidRDefault="00E315AB" w:rsidP="00E315AB">
      <w:pPr>
        <w:pStyle w:val="Heading2"/>
        <w:divId w:val="935526654"/>
        <w:rPr>
          <w:lang w:val="en-GB"/>
        </w:rPr>
      </w:pPr>
      <w:r>
        <w:rPr>
          <w:lang w:val="en-GB"/>
        </w:rPr>
        <w:t>JEV vaccination</w:t>
      </w:r>
    </w:p>
    <w:p w14:paraId="7E2D084D" w14:textId="77777777" w:rsidR="00E315AB" w:rsidRPr="00E315AB" w:rsidRDefault="00E315AB" w:rsidP="00E315AB">
      <w:pPr>
        <w:divId w:val="935526654"/>
        <w:rPr>
          <w:lang w:val="en-GB"/>
        </w:rPr>
      </w:pPr>
      <w:r w:rsidRPr="00E315AB">
        <w:rPr>
          <w:lang w:val="en-GB"/>
        </w:rPr>
        <w:t xml:space="preserve">Written consent for vaccination was obtained for all participants (via a guardian for children aged less than 18 years). Consenting participants completed a self-administered clinic questionnaire. The clinic questionnaire collected information on each participant’s demography, travel history, symptoms, pregnancy status and workplace history. </w:t>
      </w:r>
    </w:p>
    <w:p w14:paraId="20A462F7" w14:textId="77777777" w:rsidR="00E315AB" w:rsidRPr="00E315AB" w:rsidRDefault="00E315AB" w:rsidP="00E315AB">
      <w:pPr>
        <w:divId w:val="935526654"/>
        <w:rPr>
          <w:lang w:val="en-GB"/>
        </w:rPr>
      </w:pPr>
      <w:r w:rsidRPr="00E315AB">
        <w:rPr>
          <w:lang w:val="en-GB"/>
        </w:rPr>
        <w:t>Two clinics offering vaccination and serology collection were held by NSW Health for the JEV infected properties. The first clinic was held at a local hospital on 8 March 2022, and the second clinic was held on-site at a piggery on 10 March 2022. JEV vaccination was administered by a medical doctor or by a nurse under the order of a medical officer. Attending medical practitioners screened consenting participants for contraindications and documented vaccination administration on signed participant consent forms. Vaccines were administered following the Australian Immunisation Handbook Guidelines; participants were monitored for 15 minutes for adverse events following vaccine administration.</w:t>
      </w:r>
      <w:r w:rsidRPr="00E315AB">
        <w:rPr>
          <w:vertAlign w:val="superscript"/>
          <w:lang w:val="en-GB"/>
        </w:rPr>
        <w:t>18</w:t>
      </w:r>
      <w:r w:rsidRPr="00E315AB">
        <w:rPr>
          <w:lang w:val="en-GB"/>
        </w:rPr>
        <w:t xml:space="preserve"> </w:t>
      </w:r>
    </w:p>
    <w:p w14:paraId="3DAAB741" w14:textId="77777777" w:rsidR="00F22C78" w:rsidRDefault="00F22C78" w:rsidP="00E315AB">
      <w:pPr>
        <w:pStyle w:val="Heading2"/>
        <w:divId w:val="935526654"/>
      </w:pPr>
      <w:r>
        <w:lastRenderedPageBreak/>
        <w:t>JEV serology</w:t>
      </w:r>
    </w:p>
    <w:p w14:paraId="59451E24" w14:textId="77777777" w:rsidR="00F22C78" w:rsidRPr="00C42BED" w:rsidRDefault="00F22C78" w:rsidP="00F22C78">
      <w:pPr>
        <w:divId w:val="935526654"/>
        <w:rPr>
          <w:lang w:val="en-GB"/>
        </w:rPr>
      </w:pPr>
      <w:r w:rsidRPr="00C42BED">
        <w:rPr>
          <w:lang w:val="en-GB"/>
        </w:rPr>
        <w:t xml:space="preserve">The serological component of the study was open to any who attended the clinics. In addition to the introduction letter, for convenience sampling, those who consented for serology also completed a clinic questionnaire (via a guardian in children aged less than 18 years). </w:t>
      </w:r>
    </w:p>
    <w:p w14:paraId="4BA229A3" w14:textId="77777777" w:rsidR="00F22C78" w:rsidRPr="00C42BED" w:rsidRDefault="00F22C78" w:rsidP="00F22C78">
      <w:pPr>
        <w:divId w:val="935526654"/>
        <w:rPr>
          <w:lang w:val="en-GB"/>
        </w:rPr>
      </w:pPr>
      <w:r w:rsidRPr="00C42BED">
        <w:rPr>
          <w:lang w:val="en-GB"/>
        </w:rPr>
        <w:t xml:space="preserve">Participants aged over 18 years had 8 mL whole blood collected prior to vaccine administration. Samples were refrigerated before transportation to the New South Wales arboviral reference laboratory, the Arbovirus Emerging Diseases Unit at the Institute of Clinical Pathology and Medical Research (ICPMR). At ICPMR, participant samples were screened using an in-house Defined Epitope Blocking (DEB) enzyme-linked immunosorbent assay (ELISA) for JEV and other flaviviruses. Positive samples were then screened for MVEV and KUNV also using DEB ELISA techniques. Positive samples also underwent retesting in titration series using the DEB ELISAs and had immunoglobulin M (IgM) analysis performed using immunofluorescence assay (IFA) techniques. Participants returning positive results by DEB ELISA, but negative IgM, were reported as having evidence of past infection or vaccination. Those positive by DEB ELISA and positive IgM were reported as having recent infection or vaccination. </w:t>
      </w:r>
    </w:p>
    <w:p w14:paraId="272434E6" w14:textId="77777777" w:rsidR="00F22C78" w:rsidRPr="00C42BED" w:rsidRDefault="00F22C78" w:rsidP="00F22C78">
      <w:pPr>
        <w:divId w:val="935526654"/>
        <w:rPr>
          <w:lang w:val="en-GB"/>
        </w:rPr>
      </w:pPr>
      <w:r w:rsidRPr="00C42BED">
        <w:rPr>
          <w:lang w:val="en-GB"/>
        </w:rPr>
        <w:t>Participants were notified of their serological results by a medical practitioner or a public health officer via telephone in April 2022. Uncontactable participants were re-contacted over a period of two weeks and provided with their results.</w:t>
      </w:r>
    </w:p>
    <w:p w14:paraId="420047F0" w14:textId="77777777" w:rsidR="00F22C78" w:rsidRDefault="00F22C78" w:rsidP="00F22C78">
      <w:pPr>
        <w:pStyle w:val="Heading2"/>
        <w:divId w:val="935526654"/>
        <w:rPr>
          <w:lang w:val="en-GB"/>
        </w:rPr>
      </w:pPr>
      <w:r>
        <w:rPr>
          <w:lang w:val="en-GB"/>
        </w:rPr>
        <w:t>Cross-sectional study</w:t>
      </w:r>
    </w:p>
    <w:p w14:paraId="1FD49091" w14:textId="77777777" w:rsidR="00F22C78" w:rsidRPr="00C42BED" w:rsidRDefault="00F22C78" w:rsidP="00F22C78">
      <w:pPr>
        <w:divId w:val="935526654"/>
        <w:rPr>
          <w:lang w:val="en-GB"/>
        </w:rPr>
      </w:pPr>
      <w:r w:rsidRPr="00C42BED">
        <w:rPr>
          <w:lang w:val="en-GB"/>
        </w:rPr>
        <w:t>The cross-sectional study comprised consenting Australian-born unvaccinated workers and/or residents who had serology collected. After receiving their serological results, participants were invited to complete an extended questionnaire to collect further risk exposures (including occupation, leisure activities and mosquito protection) retrospectively for December 2021 to March 2022.</w:t>
      </w:r>
    </w:p>
    <w:p w14:paraId="38BABE01" w14:textId="77777777" w:rsidR="00F22C78" w:rsidRDefault="00F22C78" w:rsidP="00F22C78">
      <w:pPr>
        <w:pStyle w:val="Heading2"/>
        <w:divId w:val="935526654"/>
        <w:rPr>
          <w:lang w:val="en-GB"/>
        </w:rPr>
      </w:pPr>
      <w:r>
        <w:rPr>
          <w:lang w:val="en-GB"/>
        </w:rPr>
        <w:t>Data analysis</w:t>
      </w:r>
    </w:p>
    <w:p w14:paraId="6F17F019" w14:textId="3350082D" w:rsidR="00F22C78" w:rsidRDefault="00F22C78" w:rsidP="00F22C78">
      <w:pPr>
        <w:divId w:val="935526654"/>
        <w:rPr>
          <w:lang w:val="en-GB"/>
        </w:rPr>
      </w:pPr>
      <w:r w:rsidRPr="00C42BED">
        <w:rPr>
          <w:lang w:val="en-GB"/>
        </w:rPr>
        <w:t xml:space="preserve">Univariate statistics were computed to describe the distribution of the clinic attendees by selected socio-demographic characteristics, JEV vaccination status (history and administration) and risk exposures; and to determine the seroprevalence of JEV among the Australian-born clinic attendees. The statistics included means and proportions with associated 95 percent confidence intervals (95% CI). Prevalence calculations excluded anyone who was born in, or who reported ever travelling to a JEV endemic country, and/or anyone who reported previous yellow fever or JEV vaccination. Selected socio-demographic and risk exposures were analysed among clinic attendees with or without JEV </w:t>
      </w:r>
      <w:proofErr w:type="spellStart"/>
      <w:r w:rsidRPr="00C42BED">
        <w:rPr>
          <w:lang w:val="en-GB"/>
        </w:rPr>
        <w:t>sero</w:t>
      </w:r>
      <w:proofErr w:type="spellEnd"/>
      <w:r w:rsidRPr="00C42BED">
        <w:rPr>
          <w:lang w:val="en-GB"/>
        </w:rPr>
        <w:t>-positive test results using bivariate analysis; the differences were assessed by Fisher’s Exact test with a statistical significance threshold of 0.05. The un-adjusted prevalence odds ratios (POR) were calculated to estimate association between JEV seropositivity and the risk exposures. Bivariate analyses comprised those participants who were Australian born, provided samples for JEV serology and completed the extended questionnaire. Data analyses were performed in R-Studio,</w:t>
      </w:r>
      <w:r w:rsidR="00F81F48">
        <w:rPr>
          <w:rStyle w:val="FootnoteReference"/>
          <w:lang w:val="en-GB"/>
        </w:rPr>
        <w:footnoteReference w:id="2"/>
      </w:r>
      <w:r w:rsidRPr="00C42BED">
        <w:rPr>
          <w:lang w:val="en-GB"/>
        </w:rPr>
        <w:t xml:space="preserve"> version 4.02, with the package </w:t>
      </w:r>
      <w:proofErr w:type="spellStart"/>
      <w:r w:rsidRPr="00C42BED">
        <w:rPr>
          <w:lang w:val="en-GB"/>
        </w:rPr>
        <w:t>epitools</w:t>
      </w:r>
      <w:proofErr w:type="spellEnd"/>
      <w:r w:rsidRPr="00C42BED">
        <w:rPr>
          <w:lang w:val="en-GB"/>
        </w:rPr>
        <w:t>.</w:t>
      </w:r>
      <w:r w:rsidRPr="00C42BED">
        <w:rPr>
          <w:vertAlign w:val="superscript"/>
          <w:lang w:val="en-GB"/>
        </w:rPr>
        <w:footnoteReference w:id="3"/>
      </w:r>
    </w:p>
    <w:p w14:paraId="4456058B" w14:textId="77777777" w:rsidR="008A0736" w:rsidRDefault="008A0736" w:rsidP="008A0736">
      <w:pPr>
        <w:pStyle w:val="Heading1"/>
        <w:divId w:val="935526654"/>
        <w:rPr>
          <w:lang w:val="en-GB"/>
        </w:rPr>
      </w:pPr>
      <w:r>
        <w:rPr>
          <w:lang w:val="en-GB"/>
        </w:rPr>
        <w:lastRenderedPageBreak/>
        <w:t>Results</w:t>
      </w:r>
    </w:p>
    <w:p w14:paraId="050F1DE7" w14:textId="77777777" w:rsidR="00F81F48" w:rsidRPr="00C42BED" w:rsidRDefault="00F81F48" w:rsidP="00F81F48">
      <w:pPr>
        <w:divId w:val="935526654"/>
        <w:rPr>
          <w:lang w:val="en-GB"/>
        </w:rPr>
      </w:pPr>
      <w:r w:rsidRPr="00C42BED">
        <w:rPr>
          <w:lang w:val="en-GB"/>
        </w:rPr>
        <w:t>Three hundred and twenty-two piggery workers and/or residents presented to NSW Health-organised clinics from the affected piggeries for vaccination and/or serological investigation.</w:t>
      </w:r>
    </w:p>
    <w:p w14:paraId="7436563E" w14:textId="77777777" w:rsidR="00F81F48" w:rsidRDefault="00F81F48" w:rsidP="00F81F48">
      <w:pPr>
        <w:pStyle w:val="Heading2"/>
        <w:divId w:val="935526654"/>
      </w:pPr>
      <w:r>
        <w:t>Vaccination</w:t>
      </w:r>
    </w:p>
    <w:p w14:paraId="63977143" w14:textId="77777777" w:rsidR="00F81F48" w:rsidRPr="007808F7" w:rsidRDefault="00F81F48" w:rsidP="00F81F48">
      <w:pPr>
        <w:divId w:val="935526654"/>
        <w:rPr>
          <w:lang w:val="en-GB"/>
        </w:rPr>
      </w:pPr>
      <w:r w:rsidRPr="007808F7">
        <w:rPr>
          <w:lang w:val="en-GB"/>
        </w:rPr>
        <w:t>Three hundred and eleven participants (96.6%) across all four farms received a JEV vaccine. Fifteen (4.8%) received JEspect and 296 (95.2%) had Imojev (Figure 1). Four respondents (1.3%) reported previous JEV vaccination.</w:t>
      </w:r>
    </w:p>
    <w:p w14:paraId="43E105DC" w14:textId="77777777" w:rsidR="00F81F48" w:rsidRDefault="00F81F48" w:rsidP="00F81F48">
      <w:pPr>
        <w:pStyle w:val="Heading2"/>
        <w:divId w:val="935526654"/>
      </w:pPr>
      <w:r w:rsidRPr="007808F7">
        <w:t>Clinic questionnaire</w:t>
      </w:r>
    </w:p>
    <w:p w14:paraId="2AAA9FB1" w14:textId="77777777" w:rsidR="00F81F48" w:rsidRDefault="00F81F48" w:rsidP="00F81F48">
      <w:pPr>
        <w:divId w:val="935526654"/>
        <w:rPr>
          <w:lang w:val="en-GB"/>
        </w:rPr>
      </w:pPr>
      <w:r w:rsidRPr="007808F7">
        <w:rPr>
          <w:lang w:val="en-GB"/>
        </w:rPr>
        <w:t xml:space="preserve">Clinic questionnaires were completed by 302/322 workers and residents (93.8%; Table 1). Among clinic questionnaire respondents, 270 were Australian born (89.4%); of these, four identified as being of Aboriginal and/or Torres Strait Islander origin. Most respondents (208/302; 69.7%) resided in the state of New South Wales. The Philippines was the most reported country of birth (n = 13) for the 32 overseas born participants. </w:t>
      </w:r>
      <w:proofErr w:type="gramStart"/>
      <w:r w:rsidRPr="007808F7">
        <w:rPr>
          <w:lang w:val="en-GB"/>
        </w:rPr>
        <w:t>A majority of</w:t>
      </w:r>
      <w:proofErr w:type="gramEnd"/>
      <w:r w:rsidRPr="007808F7">
        <w:rPr>
          <w:lang w:val="en-GB"/>
        </w:rPr>
        <w:t xml:space="preserve"> respondents (195/302; 64.6%) were in the 25–54 years age group; the median age was 45 years (range 3–75 years). Males predominated (204/302; 67.5%).</w:t>
      </w:r>
    </w:p>
    <w:p w14:paraId="331F6FE7" w14:textId="67D5DF04" w:rsidR="008A0736" w:rsidRDefault="00F81F48" w:rsidP="00F81F48">
      <w:pPr>
        <w:pStyle w:val="CDITable-Title"/>
        <w:divId w:val="935526654"/>
      </w:pPr>
      <w:r w:rsidRPr="00F81F48">
        <w:t>Table 1: Total vaccines administered, serology collection, clinic questionnaires completed for attendees at Murrumbidgee Local Health District JEV clinics, 2022</w:t>
      </w:r>
    </w:p>
    <w:tbl>
      <w:tblPr>
        <w:tblW w:w="0" w:type="auto"/>
        <w:tblLayout w:type="fixed"/>
        <w:tblCellMar>
          <w:left w:w="0" w:type="dxa"/>
          <w:right w:w="0" w:type="dxa"/>
        </w:tblCellMar>
        <w:tblLook w:val="0000" w:firstRow="0" w:lastRow="0" w:firstColumn="0" w:lastColumn="0" w:noHBand="0" w:noVBand="0"/>
        <w:tblCaption w:val="Table 1: Total vaccines administered, serology collection, clinic questionnaires completed for attendees at Murrumbidgee Local Health District JEV clinics, 2022"/>
        <w:tblDescription w:val="Table 1 shows the total number of participants across four farms that attended the clinic and had serology collected, vaccination administered and completed the clinic questionnaire."/>
      </w:tblPr>
      <w:tblGrid>
        <w:gridCol w:w="1020"/>
        <w:gridCol w:w="1232"/>
        <w:gridCol w:w="1231"/>
        <w:gridCol w:w="1231"/>
        <w:gridCol w:w="1231"/>
        <w:gridCol w:w="1231"/>
        <w:gridCol w:w="1231"/>
        <w:gridCol w:w="1231"/>
      </w:tblGrid>
      <w:tr w:rsidR="00F81F48" w:rsidRPr="00532C35" w14:paraId="09137898" w14:textId="77777777" w:rsidTr="00F81F48">
        <w:trPr>
          <w:divId w:val="935526654"/>
          <w:trHeight w:val="20"/>
          <w:tblHeader/>
        </w:trPr>
        <w:tc>
          <w:tcPr>
            <w:tcW w:w="1020" w:type="dxa"/>
            <w:vMerge w:val="restart"/>
            <w:shd w:val="clear" w:color="auto" w:fill="033636" w:themeFill="text2"/>
            <w:tcMar>
              <w:top w:w="113" w:type="dxa"/>
              <w:left w:w="113" w:type="dxa"/>
              <w:bottom w:w="113" w:type="dxa"/>
              <w:right w:w="113" w:type="dxa"/>
            </w:tcMar>
            <w:vAlign w:val="bottom"/>
          </w:tcPr>
          <w:p w14:paraId="6BD6F1C3" w14:textId="77777777" w:rsidR="00F81F48" w:rsidRPr="00532C35" w:rsidRDefault="00F81F48" w:rsidP="00032BAE">
            <w:pPr>
              <w:pStyle w:val="CDIFigure-Table-H1Left"/>
            </w:pPr>
            <w:r w:rsidRPr="00532C35">
              <w:t>Farm</w:t>
            </w:r>
          </w:p>
        </w:tc>
        <w:tc>
          <w:tcPr>
            <w:tcW w:w="2463" w:type="dxa"/>
            <w:gridSpan w:val="2"/>
            <w:tcBorders>
              <w:bottom w:val="single" w:sz="4" w:space="0" w:color="FFFFFF" w:themeColor="background1"/>
            </w:tcBorders>
            <w:shd w:val="clear" w:color="auto" w:fill="033636" w:themeFill="text2"/>
            <w:tcMar>
              <w:top w:w="113" w:type="dxa"/>
              <w:left w:w="113" w:type="dxa"/>
              <w:bottom w:w="113" w:type="dxa"/>
              <w:right w:w="113" w:type="dxa"/>
            </w:tcMar>
            <w:vAlign w:val="bottom"/>
          </w:tcPr>
          <w:p w14:paraId="3005AD9E" w14:textId="77777777" w:rsidR="00F81F48" w:rsidRPr="00532C35" w:rsidRDefault="00F81F48" w:rsidP="00032BAE">
            <w:pPr>
              <w:pStyle w:val="CDIFigure-Table-H1"/>
            </w:pPr>
            <w:r w:rsidRPr="00532C35">
              <w:t>Number vaccinated</w:t>
            </w:r>
          </w:p>
        </w:tc>
        <w:tc>
          <w:tcPr>
            <w:tcW w:w="2462" w:type="dxa"/>
            <w:gridSpan w:val="2"/>
            <w:tcBorders>
              <w:bottom w:val="single" w:sz="4" w:space="0" w:color="FFFFFF" w:themeColor="background1"/>
            </w:tcBorders>
            <w:shd w:val="clear" w:color="auto" w:fill="033636" w:themeFill="text2"/>
            <w:tcMar>
              <w:top w:w="113" w:type="dxa"/>
              <w:left w:w="113" w:type="dxa"/>
              <w:bottom w:w="113" w:type="dxa"/>
              <w:right w:w="113" w:type="dxa"/>
            </w:tcMar>
            <w:vAlign w:val="bottom"/>
          </w:tcPr>
          <w:p w14:paraId="64E24FE7" w14:textId="77777777" w:rsidR="00F81F48" w:rsidRPr="00532C35" w:rsidRDefault="00F81F48" w:rsidP="00032BAE">
            <w:pPr>
              <w:pStyle w:val="CDIFigure-Table-H1"/>
            </w:pPr>
            <w:r w:rsidRPr="00532C35">
              <w:t>Number from who serology</w:t>
            </w:r>
            <w:r>
              <w:t> </w:t>
            </w:r>
            <w:r w:rsidRPr="00532C35">
              <w:t>was collected</w:t>
            </w:r>
          </w:p>
        </w:tc>
        <w:tc>
          <w:tcPr>
            <w:tcW w:w="2462" w:type="dxa"/>
            <w:gridSpan w:val="2"/>
            <w:tcBorders>
              <w:bottom w:val="single" w:sz="4" w:space="0" w:color="FFFFFF" w:themeColor="background1"/>
            </w:tcBorders>
            <w:shd w:val="clear" w:color="auto" w:fill="033636" w:themeFill="text2"/>
            <w:tcMar>
              <w:top w:w="113" w:type="dxa"/>
              <w:left w:w="113" w:type="dxa"/>
              <w:bottom w:w="113" w:type="dxa"/>
              <w:right w:w="113" w:type="dxa"/>
            </w:tcMar>
            <w:vAlign w:val="bottom"/>
          </w:tcPr>
          <w:p w14:paraId="59203206" w14:textId="77777777" w:rsidR="00F81F48" w:rsidRPr="00532C35" w:rsidRDefault="00F81F48" w:rsidP="00032BAE">
            <w:pPr>
              <w:pStyle w:val="CDIFigure-Table-H1"/>
            </w:pPr>
            <w:r w:rsidRPr="00532C35">
              <w:t>Number competing clinic</w:t>
            </w:r>
            <w:r>
              <w:t> </w:t>
            </w:r>
            <w:r w:rsidRPr="00532C35">
              <w:t>questionnaire</w:t>
            </w:r>
          </w:p>
        </w:tc>
        <w:tc>
          <w:tcPr>
            <w:tcW w:w="1231" w:type="dxa"/>
            <w:vMerge w:val="restart"/>
            <w:shd w:val="clear" w:color="auto" w:fill="033636" w:themeFill="text2"/>
            <w:tcMar>
              <w:top w:w="113" w:type="dxa"/>
              <w:left w:w="113" w:type="dxa"/>
              <w:bottom w:w="113" w:type="dxa"/>
              <w:right w:w="113" w:type="dxa"/>
            </w:tcMar>
            <w:vAlign w:val="bottom"/>
          </w:tcPr>
          <w:p w14:paraId="432BF99B" w14:textId="77777777" w:rsidR="00F81F48" w:rsidRPr="00532C35" w:rsidRDefault="00F81F48" w:rsidP="00032BAE">
            <w:pPr>
              <w:pStyle w:val="CDIFigure-Table-H1"/>
            </w:pPr>
            <w:r w:rsidRPr="00532C35">
              <w:t>Number attending vaccination clinic</w:t>
            </w:r>
          </w:p>
        </w:tc>
      </w:tr>
      <w:tr w:rsidR="00F81F48" w:rsidRPr="00532C35" w14:paraId="6A0C1142" w14:textId="77777777" w:rsidTr="00F81F48">
        <w:trPr>
          <w:divId w:val="935526654"/>
          <w:trHeight w:val="20"/>
          <w:tblHeader/>
        </w:trPr>
        <w:tc>
          <w:tcPr>
            <w:tcW w:w="1020" w:type="dxa"/>
            <w:vMerge/>
            <w:shd w:val="clear" w:color="auto" w:fill="033636" w:themeFill="text2"/>
          </w:tcPr>
          <w:p w14:paraId="4B06050F" w14:textId="77777777" w:rsidR="00F81F48" w:rsidRPr="00532C35" w:rsidRDefault="00F81F48" w:rsidP="00032BAE"/>
        </w:tc>
        <w:tc>
          <w:tcPr>
            <w:tcW w:w="1232" w:type="dxa"/>
            <w:tcBorders>
              <w:top w:val="single" w:sz="4" w:space="0" w:color="FFFFFF" w:themeColor="background1"/>
            </w:tcBorders>
            <w:shd w:val="clear" w:color="auto" w:fill="033636" w:themeFill="text2"/>
            <w:tcMar>
              <w:top w:w="113" w:type="dxa"/>
              <w:left w:w="113" w:type="dxa"/>
              <w:bottom w:w="113" w:type="dxa"/>
              <w:right w:w="113" w:type="dxa"/>
            </w:tcMar>
            <w:vAlign w:val="bottom"/>
          </w:tcPr>
          <w:p w14:paraId="40FCDFE0" w14:textId="77777777" w:rsidR="00F81F48" w:rsidRPr="00532C35" w:rsidRDefault="00F81F48" w:rsidP="00032BAE">
            <w:pPr>
              <w:pStyle w:val="CDIFigure-Table-H1"/>
            </w:pPr>
            <w:r w:rsidRPr="00532C35">
              <w:t>n</w:t>
            </w:r>
          </w:p>
        </w:tc>
        <w:tc>
          <w:tcPr>
            <w:tcW w:w="1231" w:type="dxa"/>
            <w:tcBorders>
              <w:top w:val="single" w:sz="4" w:space="0" w:color="FFFFFF" w:themeColor="background1"/>
            </w:tcBorders>
            <w:shd w:val="clear" w:color="auto" w:fill="033636" w:themeFill="text2"/>
            <w:tcMar>
              <w:top w:w="113" w:type="dxa"/>
              <w:left w:w="113" w:type="dxa"/>
              <w:bottom w:w="113" w:type="dxa"/>
              <w:right w:w="113" w:type="dxa"/>
            </w:tcMar>
            <w:vAlign w:val="bottom"/>
          </w:tcPr>
          <w:p w14:paraId="40255C88" w14:textId="77777777" w:rsidR="00F81F48" w:rsidRPr="00532C35" w:rsidRDefault="00F81F48" w:rsidP="00032BAE">
            <w:pPr>
              <w:pStyle w:val="CDIFigure-Table-H1"/>
            </w:pPr>
            <w:r w:rsidRPr="00532C35">
              <w:t>%</w:t>
            </w:r>
            <w:r w:rsidRPr="00532C35">
              <w:rPr>
                <w:vertAlign w:val="superscript"/>
              </w:rPr>
              <w:t>a</w:t>
            </w:r>
          </w:p>
        </w:tc>
        <w:tc>
          <w:tcPr>
            <w:tcW w:w="1231" w:type="dxa"/>
            <w:tcBorders>
              <w:top w:val="single" w:sz="4" w:space="0" w:color="FFFFFF" w:themeColor="background1"/>
            </w:tcBorders>
            <w:shd w:val="clear" w:color="auto" w:fill="033636" w:themeFill="text2"/>
            <w:tcMar>
              <w:top w:w="113" w:type="dxa"/>
              <w:left w:w="113" w:type="dxa"/>
              <w:bottom w:w="113" w:type="dxa"/>
              <w:right w:w="113" w:type="dxa"/>
            </w:tcMar>
            <w:vAlign w:val="bottom"/>
          </w:tcPr>
          <w:p w14:paraId="745BA42C" w14:textId="77777777" w:rsidR="00F81F48" w:rsidRPr="00532C35" w:rsidRDefault="00F81F48" w:rsidP="00032BAE">
            <w:pPr>
              <w:pStyle w:val="CDIFigure-Table-H1"/>
            </w:pPr>
            <w:r w:rsidRPr="00532C35">
              <w:t>n</w:t>
            </w:r>
          </w:p>
        </w:tc>
        <w:tc>
          <w:tcPr>
            <w:tcW w:w="1231" w:type="dxa"/>
            <w:tcBorders>
              <w:top w:val="single" w:sz="4" w:space="0" w:color="FFFFFF" w:themeColor="background1"/>
            </w:tcBorders>
            <w:shd w:val="clear" w:color="auto" w:fill="033636" w:themeFill="text2"/>
            <w:tcMar>
              <w:top w:w="113" w:type="dxa"/>
              <w:left w:w="113" w:type="dxa"/>
              <w:bottom w:w="113" w:type="dxa"/>
              <w:right w:w="113" w:type="dxa"/>
            </w:tcMar>
            <w:vAlign w:val="bottom"/>
          </w:tcPr>
          <w:p w14:paraId="7AB612DC" w14:textId="77777777" w:rsidR="00F81F48" w:rsidRPr="00532C35" w:rsidRDefault="00F81F48" w:rsidP="00032BAE">
            <w:pPr>
              <w:pStyle w:val="CDIFigure-Table-H1"/>
            </w:pPr>
            <w:r w:rsidRPr="00532C35">
              <w:t>%</w:t>
            </w:r>
            <w:r w:rsidRPr="00532C35">
              <w:rPr>
                <w:bCs/>
                <w:vertAlign w:val="superscript"/>
              </w:rPr>
              <w:t>a</w:t>
            </w:r>
          </w:p>
        </w:tc>
        <w:tc>
          <w:tcPr>
            <w:tcW w:w="1231" w:type="dxa"/>
            <w:tcBorders>
              <w:top w:val="single" w:sz="4" w:space="0" w:color="FFFFFF" w:themeColor="background1"/>
            </w:tcBorders>
            <w:shd w:val="clear" w:color="auto" w:fill="033636" w:themeFill="text2"/>
            <w:tcMar>
              <w:top w:w="113" w:type="dxa"/>
              <w:left w:w="113" w:type="dxa"/>
              <w:bottom w:w="113" w:type="dxa"/>
              <w:right w:w="113" w:type="dxa"/>
            </w:tcMar>
            <w:vAlign w:val="bottom"/>
          </w:tcPr>
          <w:p w14:paraId="35FE6AE6" w14:textId="77777777" w:rsidR="00F81F48" w:rsidRPr="00532C35" w:rsidRDefault="00F81F48" w:rsidP="00032BAE">
            <w:pPr>
              <w:pStyle w:val="CDIFigure-Table-H1"/>
            </w:pPr>
            <w:r w:rsidRPr="00532C35">
              <w:t>n</w:t>
            </w:r>
          </w:p>
        </w:tc>
        <w:tc>
          <w:tcPr>
            <w:tcW w:w="1231" w:type="dxa"/>
            <w:tcBorders>
              <w:top w:val="single" w:sz="4" w:space="0" w:color="FFFFFF" w:themeColor="background1"/>
            </w:tcBorders>
            <w:shd w:val="clear" w:color="auto" w:fill="033636" w:themeFill="text2"/>
            <w:tcMar>
              <w:top w:w="113" w:type="dxa"/>
              <w:left w:w="113" w:type="dxa"/>
              <w:bottom w:w="113" w:type="dxa"/>
              <w:right w:w="113" w:type="dxa"/>
            </w:tcMar>
            <w:vAlign w:val="bottom"/>
          </w:tcPr>
          <w:p w14:paraId="7C57BF76" w14:textId="77777777" w:rsidR="00F81F48" w:rsidRPr="00532C35" w:rsidRDefault="00F81F48" w:rsidP="00032BAE">
            <w:pPr>
              <w:pStyle w:val="CDIFigure-Table-H1"/>
            </w:pPr>
            <w:r w:rsidRPr="00532C35">
              <w:t>%</w:t>
            </w:r>
            <w:r w:rsidRPr="00532C35">
              <w:rPr>
                <w:bCs/>
                <w:vertAlign w:val="superscript"/>
              </w:rPr>
              <w:t>a</w:t>
            </w:r>
          </w:p>
        </w:tc>
        <w:tc>
          <w:tcPr>
            <w:tcW w:w="1231" w:type="dxa"/>
            <w:vMerge/>
            <w:shd w:val="clear" w:color="auto" w:fill="033636" w:themeFill="text2"/>
          </w:tcPr>
          <w:p w14:paraId="4D58FDC3" w14:textId="77777777" w:rsidR="00F81F48" w:rsidRPr="00532C35" w:rsidRDefault="00F81F48" w:rsidP="00032BAE"/>
        </w:tc>
      </w:tr>
      <w:tr w:rsidR="00F81F48" w:rsidRPr="00532C35" w14:paraId="134925A5" w14:textId="77777777" w:rsidTr="00F81F48">
        <w:trPr>
          <w:divId w:val="935526654"/>
          <w:trHeight w:val="20"/>
        </w:trPr>
        <w:tc>
          <w:tcPr>
            <w:tcW w:w="1020" w:type="dxa"/>
            <w:shd w:val="clear" w:color="auto" w:fill="F2F2F2" w:themeFill="background1" w:themeFillShade="F2"/>
            <w:tcMar>
              <w:top w:w="113" w:type="dxa"/>
              <w:left w:w="113" w:type="dxa"/>
              <w:bottom w:w="113" w:type="dxa"/>
              <w:right w:w="113" w:type="dxa"/>
            </w:tcMar>
            <w:vAlign w:val="center"/>
          </w:tcPr>
          <w:p w14:paraId="6BFEEEA2" w14:textId="77777777" w:rsidR="00F81F48" w:rsidRPr="00532C35" w:rsidRDefault="00F81F48" w:rsidP="00032BAE">
            <w:pPr>
              <w:pStyle w:val="CDIFigure-Table-BodyTextLeft"/>
            </w:pPr>
            <w:r w:rsidRPr="00532C35">
              <w:t xml:space="preserve">Farm A </w:t>
            </w:r>
          </w:p>
        </w:tc>
        <w:tc>
          <w:tcPr>
            <w:tcW w:w="1232" w:type="dxa"/>
            <w:shd w:val="clear" w:color="auto" w:fill="F2F2F2" w:themeFill="background1" w:themeFillShade="F2"/>
            <w:tcMar>
              <w:top w:w="113" w:type="dxa"/>
              <w:left w:w="113" w:type="dxa"/>
              <w:bottom w:w="113" w:type="dxa"/>
              <w:right w:w="113" w:type="dxa"/>
            </w:tcMar>
            <w:vAlign w:val="center"/>
          </w:tcPr>
          <w:p w14:paraId="2E15BF01" w14:textId="77777777" w:rsidR="00F81F48" w:rsidRPr="00532C35" w:rsidRDefault="00F81F48" w:rsidP="00032BAE">
            <w:pPr>
              <w:pStyle w:val="CDIFigure-Table-BodyTextCentre"/>
            </w:pPr>
            <w:r w:rsidRPr="00532C35">
              <w:t>8</w:t>
            </w:r>
          </w:p>
        </w:tc>
        <w:tc>
          <w:tcPr>
            <w:tcW w:w="1231" w:type="dxa"/>
            <w:shd w:val="clear" w:color="auto" w:fill="F2F2F2" w:themeFill="background1" w:themeFillShade="F2"/>
            <w:tcMar>
              <w:top w:w="113" w:type="dxa"/>
              <w:left w:w="113" w:type="dxa"/>
              <w:bottom w:w="113" w:type="dxa"/>
              <w:right w:w="113" w:type="dxa"/>
            </w:tcMar>
            <w:vAlign w:val="center"/>
          </w:tcPr>
          <w:p w14:paraId="134D5079" w14:textId="77777777" w:rsidR="00F81F48" w:rsidRPr="00532C35" w:rsidRDefault="00F81F48" w:rsidP="00032BAE">
            <w:pPr>
              <w:pStyle w:val="CDIFigure-Table-BodyTextCentre"/>
            </w:pPr>
            <w:r w:rsidRPr="00532C35">
              <w:t>100.0</w:t>
            </w:r>
          </w:p>
        </w:tc>
        <w:tc>
          <w:tcPr>
            <w:tcW w:w="1231" w:type="dxa"/>
            <w:shd w:val="clear" w:color="auto" w:fill="F2F2F2" w:themeFill="background1" w:themeFillShade="F2"/>
            <w:tcMar>
              <w:top w:w="113" w:type="dxa"/>
              <w:left w:w="113" w:type="dxa"/>
              <w:bottom w:w="113" w:type="dxa"/>
              <w:right w:w="113" w:type="dxa"/>
            </w:tcMar>
            <w:vAlign w:val="center"/>
          </w:tcPr>
          <w:p w14:paraId="1814F3E6" w14:textId="77777777" w:rsidR="00F81F48" w:rsidRPr="00532C35" w:rsidRDefault="00F81F48" w:rsidP="00032BAE">
            <w:pPr>
              <w:pStyle w:val="CDIFigure-Table-BodyTextCentre"/>
            </w:pPr>
            <w:r w:rsidRPr="00532C35">
              <w:t>1</w:t>
            </w:r>
          </w:p>
        </w:tc>
        <w:tc>
          <w:tcPr>
            <w:tcW w:w="1231" w:type="dxa"/>
            <w:shd w:val="clear" w:color="auto" w:fill="F2F2F2" w:themeFill="background1" w:themeFillShade="F2"/>
            <w:tcMar>
              <w:top w:w="113" w:type="dxa"/>
              <w:left w:w="113" w:type="dxa"/>
              <w:bottom w:w="113" w:type="dxa"/>
              <w:right w:w="113" w:type="dxa"/>
            </w:tcMar>
            <w:vAlign w:val="center"/>
          </w:tcPr>
          <w:p w14:paraId="76DD6C08" w14:textId="77777777" w:rsidR="00F81F48" w:rsidRPr="00532C35" w:rsidRDefault="00F81F48" w:rsidP="00032BAE">
            <w:pPr>
              <w:pStyle w:val="CDIFigure-Table-BodyTextCentre"/>
            </w:pPr>
            <w:r w:rsidRPr="00532C35">
              <w:t>12.5</w:t>
            </w:r>
          </w:p>
        </w:tc>
        <w:tc>
          <w:tcPr>
            <w:tcW w:w="1231" w:type="dxa"/>
            <w:shd w:val="clear" w:color="auto" w:fill="F2F2F2" w:themeFill="background1" w:themeFillShade="F2"/>
            <w:tcMar>
              <w:top w:w="113" w:type="dxa"/>
              <w:left w:w="113" w:type="dxa"/>
              <w:bottom w:w="113" w:type="dxa"/>
              <w:right w:w="113" w:type="dxa"/>
            </w:tcMar>
            <w:vAlign w:val="center"/>
          </w:tcPr>
          <w:p w14:paraId="278678ED" w14:textId="77777777" w:rsidR="00F81F48" w:rsidRPr="00532C35" w:rsidRDefault="00F81F48" w:rsidP="00032BAE">
            <w:pPr>
              <w:pStyle w:val="CDIFigure-Table-BodyTextCentre"/>
            </w:pPr>
            <w:r w:rsidRPr="00532C35">
              <w:t>1</w:t>
            </w:r>
          </w:p>
        </w:tc>
        <w:tc>
          <w:tcPr>
            <w:tcW w:w="1231" w:type="dxa"/>
            <w:shd w:val="clear" w:color="auto" w:fill="F2F2F2" w:themeFill="background1" w:themeFillShade="F2"/>
            <w:tcMar>
              <w:top w:w="113" w:type="dxa"/>
              <w:left w:w="113" w:type="dxa"/>
              <w:bottom w:w="113" w:type="dxa"/>
              <w:right w:w="113" w:type="dxa"/>
            </w:tcMar>
            <w:vAlign w:val="center"/>
          </w:tcPr>
          <w:p w14:paraId="6CD9E60D" w14:textId="77777777" w:rsidR="00F81F48" w:rsidRPr="00532C35" w:rsidRDefault="00F81F48" w:rsidP="00032BAE">
            <w:pPr>
              <w:pStyle w:val="CDIFigure-Table-BodyTextCentre"/>
            </w:pPr>
            <w:r w:rsidRPr="00532C35">
              <w:t>12.5</w:t>
            </w:r>
          </w:p>
        </w:tc>
        <w:tc>
          <w:tcPr>
            <w:tcW w:w="1231" w:type="dxa"/>
            <w:shd w:val="clear" w:color="auto" w:fill="F2F2F2" w:themeFill="background1" w:themeFillShade="F2"/>
            <w:tcMar>
              <w:top w:w="113" w:type="dxa"/>
              <w:left w:w="113" w:type="dxa"/>
              <w:bottom w:w="113" w:type="dxa"/>
              <w:right w:w="113" w:type="dxa"/>
            </w:tcMar>
            <w:vAlign w:val="center"/>
          </w:tcPr>
          <w:p w14:paraId="7E5B6546" w14:textId="77777777" w:rsidR="00F81F48" w:rsidRPr="00532C35" w:rsidRDefault="00F81F48" w:rsidP="00032BAE">
            <w:pPr>
              <w:pStyle w:val="CDIFigure-Table-BodyTextCentre"/>
            </w:pPr>
            <w:r w:rsidRPr="00532C35">
              <w:t>8</w:t>
            </w:r>
          </w:p>
        </w:tc>
      </w:tr>
      <w:tr w:rsidR="00F81F48" w:rsidRPr="00532C35" w14:paraId="5881B6B4" w14:textId="77777777" w:rsidTr="00F81F48">
        <w:trPr>
          <w:divId w:val="935526654"/>
          <w:trHeight w:val="20"/>
        </w:trPr>
        <w:tc>
          <w:tcPr>
            <w:tcW w:w="1020" w:type="dxa"/>
            <w:tcMar>
              <w:top w:w="113" w:type="dxa"/>
              <w:left w:w="113" w:type="dxa"/>
              <w:bottom w:w="113" w:type="dxa"/>
              <w:right w:w="113" w:type="dxa"/>
            </w:tcMar>
            <w:vAlign w:val="center"/>
          </w:tcPr>
          <w:p w14:paraId="7835DE1D" w14:textId="77777777" w:rsidR="00F81F48" w:rsidRPr="00532C35" w:rsidRDefault="00F81F48" w:rsidP="00032BAE">
            <w:pPr>
              <w:pStyle w:val="CDIFigure-Table-BodyTextLeft"/>
            </w:pPr>
            <w:r w:rsidRPr="00532C35">
              <w:t xml:space="preserve">Farm B </w:t>
            </w:r>
          </w:p>
        </w:tc>
        <w:tc>
          <w:tcPr>
            <w:tcW w:w="1232" w:type="dxa"/>
            <w:tcMar>
              <w:top w:w="113" w:type="dxa"/>
              <w:left w:w="113" w:type="dxa"/>
              <w:bottom w:w="113" w:type="dxa"/>
              <w:right w:w="113" w:type="dxa"/>
            </w:tcMar>
            <w:vAlign w:val="center"/>
          </w:tcPr>
          <w:p w14:paraId="4597010F" w14:textId="77777777" w:rsidR="00F81F48" w:rsidRPr="00532C35" w:rsidRDefault="00F81F48" w:rsidP="00032BAE">
            <w:pPr>
              <w:pStyle w:val="CDIFigure-Table-BodyTextCentre"/>
            </w:pPr>
            <w:r w:rsidRPr="00532C35">
              <w:t>23</w:t>
            </w:r>
          </w:p>
        </w:tc>
        <w:tc>
          <w:tcPr>
            <w:tcW w:w="1231" w:type="dxa"/>
            <w:tcMar>
              <w:top w:w="113" w:type="dxa"/>
              <w:left w:w="113" w:type="dxa"/>
              <w:bottom w:w="113" w:type="dxa"/>
              <w:right w:w="113" w:type="dxa"/>
            </w:tcMar>
            <w:vAlign w:val="center"/>
          </w:tcPr>
          <w:p w14:paraId="4D108679" w14:textId="77777777" w:rsidR="00F81F48" w:rsidRPr="00532C35" w:rsidRDefault="00F81F48" w:rsidP="00032BAE">
            <w:pPr>
              <w:pStyle w:val="CDIFigure-Table-BodyTextCentre"/>
            </w:pPr>
            <w:r w:rsidRPr="00532C35">
              <w:t>92.0</w:t>
            </w:r>
          </w:p>
        </w:tc>
        <w:tc>
          <w:tcPr>
            <w:tcW w:w="1231" w:type="dxa"/>
            <w:tcMar>
              <w:top w:w="113" w:type="dxa"/>
              <w:left w:w="113" w:type="dxa"/>
              <w:bottom w:w="113" w:type="dxa"/>
              <w:right w:w="113" w:type="dxa"/>
            </w:tcMar>
            <w:vAlign w:val="center"/>
          </w:tcPr>
          <w:p w14:paraId="0E03AAA0" w14:textId="77777777" w:rsidR="00F81F48" w:rsidRPr="00532C35" w:rsidRDefault="00F81F48" w:rsidP="00032BAE">
            <w:pPr>
              <w:pStyle w:val="CDIFigure-Table-BodyTextCentre"/>
            </w:pPr>
            <w:r w:rsidRPr="00532C35">
              <w:t>18</w:t>
            </w:r>
          </w:p>
        </w:tc>
        <w:tc>
          <w:tcPr>
            <w:tcW w:w="1231" w:type="dxa"/>
            <w:tcMar>
              <w:top w:w="113" w:type="dxa"/>
              <w:left w:w="113" w:type="dxa"/>
              <w:bottom w:w="113" w:type="dxa"/>
              <w:right w:w="113" w:type="dxa"/>
            </w:tcMar>
            <w:vAlign w:val="center"/>
          </w:tcPr>
          <w:p w14:paraId="3DB5675C" w14:textId="77777777" w:rsidR="00F81F48" w:rsidRPr="00532C35" w:rsidRDefault="00F81F48" w:rsidP="00032BAE">
            <w:pPr>
              <w:pStyle w:val="CDIFigure-Table-BodyTextCentre"/>
            </w:pPr>
            <w:r w:rsidRPr="00532C35">
              <w:t>72.0</w:t>
            </w:r>
          </w:p>
        </w:tc>
        <w:tc>
          <w:tcPr>
            <w:tcW w:w="1231" w:type="dxa"/>
            <w:tcMar>
              <w:top w:w="113" w:type="dxa"/>
              <w:left w:w="113" w:type="dxa"/>
              <w:bottom w:w="113" w:type="dxa"/>
              <w:right w:w="113" w:type="dxa"/>
            </w:tcMar>
            <w:vAlign w:val="center"/>
          </w:tcPr>
          <w:p w14:paraId="734B06D7" w14:textId="77777777" w:rsidR="00F81F48" w:rsidRPr="00532C35" w:rsidRDefault="00F81F48" w:rsidP="00032BAE">
            <w:pPr>
              <w:pStyle w:val="CDIFigure-Table-BodyTextCentre"/>
            </w:pPr>
            <w:r w:rsidRPr="00532C35">
              <w:t>23</w:t>
            </w:r>
          </w:p>
        </w:tc>
        <w:tc>
          <w:tcPr>
            <w:tcW w:w="1231" w:type="dxa"/>
            <w:tcMar>
              <w:top w:w="113" w:type="dxa"/>
              <w:left w:w="113" w:type="dxa"/>
              <w:bottom w:w="113" w:type="dxa"/>
              <w:right w:w="113" w:type="dxa"/>
            </w:tcMar>
            <w:vAlign w:val="center"/>
          </w:tcPr>
          <w:p w14:paraId="20525ED1" w14:textId="77777777" w:rsidR="00F81F48" w:rsidRPr="00532C35" w:rsidRDefault="00F81F48" w:rsidP="00032BAE">
            <w:pPr>
              <w:pStyle w:val="CDIFigure-Table-BodyTextCentre"/>
            </w:pPr>
            <w:r w:rsidRPr="00532C35">
              <w:t>92.0</w:t>
            </w:r>
          </w:p>
        </w:tc>
        <w:tc>
          <w:tcPr>
            <w:tcW w:w="1231" w:type="dxa"/>
            <w:tcMar>
              <w:top w:w="113" w:type="dxa"/>
              <w:left w:w="113" w:type="dxa"/>
              <w:bottom w:w="113" w:type="dxa"/>
              <w:right w:w="113" w:type="dxa"/>
            </w:tcMar>
            <w:vAlign w:val="center"/>
          </w:tcPr>
          <w:p w14:paraId="130C4362" w14:textId="77777777" w:rsidR="00F81F48" w:rsidRPr="00532C35" w:rsidRDefault="00F81F48" w:rsidP="00032BAE">
            <w:pPr>
              <w:pStyle w:val="CDIFigure-Table-BodyTextCentre"/>
            </w:pPr>
            <w:r w:rsidRPr="00532C35">
              <w:t>25</w:t>
            </w:r>
          </w:p>
        </w:tc>
      </w:tr>
      <w:tr w:rsidR="00F81F48" w:rsidRPr="00532C35" w14:paraId="72D31B10" w14:textId="77777777" w:rsidTr="00F81F48">
        <w:trPr>
          <w:divId w:val="935526654"/>
          <w:trHeight w:val="20"/>
        </w:trPr>
        <w:tc>
          <w:tcPr>
            <w:tcW w:w="1020" w:type="dxa"/>
            <w:shd w:val="clear" w:color="auto" w:fill="F2F2F2" w:themeFill="background1" w:themeFillShade="F2"/>
            <w:tcMar>
              <w:top w:w="113" w:type="dxa"/>
              <w:left w:w="113" w:type="dxa"/>
              <w:bottom w:w="113" w:type="dxa"/>
              <w:right w:w="113" w:type="dxa"/>
            </w:tcMar>
            <w:vAlign w:val="center"/>
          </w:tcPr>
          <w:p w14:paraId="034B08C3" w14:textId="77777777" w:rsidR="00F81F48" w:rsidRPr="00532C35" w:rsidRDefault="00F81F48" w:rsidP="00032BAE">
            <w:pPr>
              <w:pStyle w:val="CDIFigure-Table-BodyTextLeft"/>
            </w:pPr>
            <w:r w:rsidRPr="00532C35">
              <w:t xml:space="preserve">Farm C </w:t>
            </w:r>
          </w:p>
        </w:tc>
        <w:tc>
          <w:tcPr>
            <w:tcW w:w="1232" w:type="dxa"/>
            <w:shd w:val="clear" w:color="auto" w:fill="F2F2F2" w:themeFill="background1" w:themeFillShade="F2"/>
            <w:tcMar>
              <w:top w:w="113" w:type="dxa"/>
              <w:left w:w="113" w:type="dxa"/>
              <w:bottom w:w="113" w:type="dxa"/>
              <w:right w:w="113" w:type="dxa"/>
            </w:tcMar>
            <w:vAlign w:val="center"/>
          </w:tcPr>
          <w:p w14:paraId="709BCD7F" w14:textId="77777777" w:rsidR="00F81F48" w:rsidRPr="00532C35" w:rsidRDefault="00F81F48" w:rsidP="00032BAE">
            <w:pPr>
              <w:pStyle w:val="CDIFigure-Table-BodyTextCentre"/>
            </w:pPr>
            <w:r w:rsidRPr="00532C35">
              <w:t>275</w:t>
            </w:r>
          </w:p>
        </w:tc>
        <w:tc>
          <w:tcPr>
            <w:tcW w:w="1231" w:type="dxa"/>
            <w:shd w:val="clear" w:color="auto" w:fill="F2F2F2" w:themeFill="background1" w:themeFillShade="F2"/>
            <w:tcMar>
              <w:top w:w="113" w:type="dxa"/>
              <w:left w:w="113" w:type="dxa"/>
              <w:bottom w:w="113" w:type="dxa"/>
              <w:right w:w="113" w:type="dxa"/>
            </w:tcMar>
            <w:vAlign w:val="center"/>
          </w:tcPr>
          <w:p w14:paraId="242764DF" w14:textId="77777777" w:rsidR="00F81F48" w:rsidRPr="00532C35" w:rsidRDefault="00F81F48" w:rsidP="00032BAE">
            <w:pPr>
              <w:pStyle w:val="CDIFigure-Table-BodyTextCentre"/>
            </w:pPr>
            <w:r w:rsidRPr="00532C35">
              <w:t>96.8</w:t>
            </w:r>
          </w:p>
        </w:tc>
        <w:tc>
          <w:tcPr>
            <w:tcW w:w="1231" w:type="dxa"/>
            <w:shd w:val="clear" w:color="auto" w:fill="F2F2F2" w:themeFill="background1" w:themeFillShade="F2"/>
            <w:tcMar>
              <w:top w:w="113" w:type="dxa"/>
              <w:left w:w="113" w:type="dxa"/>
              <w:bottom w:w="113" w:type="dxa"/>
              <w:right w:w="113" w:type="dxa"/>
            </w:tcMar>
            <w:vAlign w:val="center"/>
          </w:tcPr>
          <w:p w14:paraId="1655806D" w14:textId="77777777" w:rsidR="00F81F48" w:rsidRPr="00532C35" w:rsidRDefault="00F81F48" w:rsidP="00032BAE">
            <w:pPr>
              <w:pStyle w:val="CDIFigure-Table-BodyTextCentre"/>
            </w:pPr>
            <w:r w:rsidRPr="00532C35">
              <w:t>155</w:t>
            </w:r>
          </w:p>
        </w:tc>
        <w:tc>
          <w:tcPr>
            <w:tcW w:w="1231" w:type="dxa"/>
            <w:shd w:val="clear" w:color="auto" w:fill="F2F2F2" w:themeFill="background1" w:themeFillShade="F2"/>
            <w:tcMar>
              <w:top w:w="113" w:type="dxa"/>
              <w:left w:w="113" w:type="dxa"/>
              <w:bottom w:w="113" w:type="dxa"/>
              <w:right w:w="113" w:type="dxa"/>
            </w:tcMar>
            <w:vAlign w:val="center"/>
          </w:tcPr>
          <w:p w14:paraId="692C9F06" w14:textId="77777777" w:rsidR="00F81F48" w:rsidRPr="00532C35" w:rsidRDefault="00F81F48" w:rsidP="00032BAE">
            <w:pPr>
              <w:pStyle w:val="CDIFigure-Table-BodyTextCentre"/>
            </w:pPr>
            <w:r w:rsidRPr="00532C35">
              <w:t>54.6</w:t>
            </w:r>
          </w:p>
        </w:tc>
        <w:tc>
          <w:tcPr>
            <w:tcW w:w="1231" w:type="dxa"/>
            <w:shd w:val="clear" w:color="auto" w:fill="F2F2F2" w:themeFill="background1" w:themeFillShade="F2"/>
            <w:tcMar>
              <w:top w:w="113" w:type="dxa"/>
              <w:left w:w="113" w:type="dxa"/>
              <w:bottom w:w="113" w:type="dxa"/>
              <w:right w:w="113" w:type="dxa"/>
            </w:tcMar>
            <w:vAlign w:val="center"/>
          </w:tcPr>
          <w:p w14:paraId="6FDDA9AE" w14:textId="77777777" w:rsidR="00F81F48" w:rsidRPr="00532C35" w:rsidRDefault="00F81F48" w:rsidP="00032BAE">
            <w:pPr>
              <w:pStyle w:val="CDIFigure-Table-BodyTextCentre"/>
            </w:pPr>
            <w:r w:rsidRPr="00532C35">
              <w:t>274</w:t>
            </w:r>
          </w:p>
        </w:tc>
        <w:tc>
          <w:tcPr>
            <w:tcW w:w="1231" w:type="dxa"/>
            <w:shd w:val="clear" w:color="auto" w:fill="F2F2F2" w:themeFill="background1" w:themeFillShade="F2"/>
            <w:tcMar>
              <w:top w:w="113" w:type="dxa"/>
              <w:left w:w="113" w:type="dxa"/>
              <w:bottom w:w="113" w:type="dxa"/>
              <w:right w:w="113" w:type="dxa"/>
            </w:tcMar>
            <w:vAlign w:val="center"/>
          </w:tcPr>
          <w:p w14:paraId="25C365C2" w14:textId="77777777" w:rsidR="00F81F48" w:rsidRPr="00532C35" w:rsidRDefault="00F81F48" w:rsidP="00032BAE">
            <w:pPr>
              <w:pStyle w:val="CDIFigure-Table-BodyTextCentre"/>
            </w:pPr>
            <w:r w:rsidRPr="00532C35">
              <w:t>96.5</w:t>
            </w:r>
          </w:p>
        </w:tc>
        <w:tc>
          <w:tcPr>
            <w:tcW w:w="1231" w:type="dxa"/>
            <w:shd w:val="clear" w:color="auto" w:fill="F2F2F2" w:themeFill="background1" w:themeFillShade="F2"/>
            <w:tcMar>
              <w:top w:w="113" w:type="dxa"/>
              <w:left w:w="113" w:type="dxa"/>
              <w:bottom w:w="113" w:type="dxa"/>
              <w:right w:w="113" w:type="dxa"/>
            </w:tcMar>
            <w:vAlign w:val="center"/>
          </w:tcPr>
          <w:p w14:paraId="54238C88" w14:textId="77777777" w:rsidR="00F81F48" w:rsidRPr="00532C35" w:rsidRDefault="00F81F48" w:rsidP="00032BAE">
            <w:pPr>
              <w:pStyle w:val="CDIFigure-Table-BodyTextCentre"/>
            </w:pPr>
            <w:r w:rsidRPr="00532C35">
              <w:t>284</w:t>
            </w:r>
          </w:p>
        </w:tc>
      </w:tr>
      <w:tr w:rsidR="00F81F48" w:rsidRPr="00532C35" w14:paraId="6FAB89E6" w14:textId="77777777" w:rsidTr="00F81F48">
        <w:trPr>
          <w:divId w:val="935526654"/>
          <w:trHeight w:val="20"/>
        </w:trPr>
        <w:tc>
          <w:tcPr>
            <w:tcW w:w="1020" w:type="dxa"/>
            <w:tcMar>
              <w:top w:w="113" w:type="dxa"/>
              <w:left w:w="113" w:type="dxa"/>
              <w:bottom w:w="113" w:type="dxa"/>
              <w:right w:w="113" w:type="dxa"/>
            </w:tcMar>
            <w:vAlign w:val="center"/>
          </w:tcPr>
          <w:p w14:paraId="27C236F7" w14:textId="77777777" w:rsidR="00F81F48" w:rsidRPr="00532C35" w:rsidRDefault="00F81F48" w:rsidP="00032BAE">
            <w:pPr>
              <w:pStyle w:val="CDIFigure-Table-BodyTextLeft"/>
            </w:pPr>
            <w:r w:rsidRPr="00532C35">
              <w:t xml:space="preserve">Farm D </w:t>
            </w:r>
          </w:p>
        </w:tc>
        <w:tc>
          <w:tcPr>
            <w:tcW w:w="1232" w:type="dxa"/>
            <w:tcMar>
              <w:top w:w="113" w:type="dxa"/>
              <w:left w:w="113" w:type="dxa"/>
              <w:bottom w:w="113" w:type="dxa"/>
              <w:right w:w="113" w:type="dxa"/>
            </w:tcMar>
            <w:vAlign w:val="center"/>
          </w:tcPr>
          <w:p w14:paraId="60C368D6" w14:textId="77777777" w:rsidR="00F81F48" w:rsidRPr="00532C35" w:rsidRDefault="00F81F48" w:rsidP="00032BAE">
            <w:pPr>
              <w:pStyle w:val="CDIFigure-Table-BodyTextCentre"/>
            </w:pPr>
            <w:r w:rsidRPr="00532C35">
              <w:t>5</w:t>
            </w:r>
          </w:p>
        </w:tc>
        <w:tc>
          <w:tcPr>
            <w:tcW w:w="1231" w:type="dxa"/>
            <w:tcMar>
              <w:top w:w="113" w:type="dxa"/>
              <w:left w:w="113" w:type="dxa"/>
              <w:bottom w:w="113" w:type="dxa"/>
              <w:right w:w="113" w:type="dxa"/>
            </w:tcMar>
            <w:vAlign w:val="center"/>
          </w:tcPr>
          <w:p w14:paraId="4399C20B" w14:textId="77777777" w:rsidR="00F81F48" w:rsidRPr="00532C35" w:rsidRDefault="00F81F48" w:rsidP="00032BAE">
            <w:pPr>
              <w:pStyle w:val="CDIFigure-Table-BodyTextCentre"/>
            </w:pPr>
            <w:r w:rsidRPr="00532C35">
              <w:t>100.0</w:t>
            </w:r>
          </w:p>
        </w:tc>
        <w:tc>
          <w:tcPr>
            <w:tcW w:w="1231" w:type="dxa"/>
            <w:tcMar>
              <w:top w:w="113" w:type="dxa"/>
              <w:left w:w="113" w:type="dxa"/>
              <w:bottom w:w="113" w:type="dxa"/>
              <w:right w:w="113" w:type="dxa"/>
            </w:tcMar>
            <w:vAlign w:val="center"/>
          </w:tcPr>
          <w:p w14:paraId="7CB5F3D6" w14:textId="77777777" w:rsidR="00F81F48" w:rsidRPr="00532C35" w:rsidRDefault="00F81F48" w:rsidP="00032BAE">
            <w:pPr>
              <w:pStyle w:val="CDIFigure-Table-BodyTextCentre"/>
            </w:pPr>
            <w:r w:rsidRPr="00532C35">
              <w:t>4</w:t>
            </w:r>
          </w:p>
        </w:tc>
        <w:tc>
          <w:tcPr>
            <w:tcW w:w="1231" w:type="dxa"/>
            <w:tcMar>
              <w:top w:w="113" w:type="dxa"/>
              <w:left w:w="113" w:type="dxa"/>
              <w:bottom w:w="113" w:type="dxa"/>
              <w:right w:w="113" w:type="dxa"/>
            </w:tcMar>
            <w:vAlign w:val="center"/>
          </w:tcPr>
          <w:p w14:paraId="6B5862C2" w14:textId="77777777" w:rsidR="00F81F48" w:rsidRPr="00532C35" w:rsidRDefault="00F81F48" w:rsidP="00032BAE">
            <w:pPr>
              <w:pStyle w:val="CDIFigure-Table-BodyTextCentre"/>
            </w:pPr>
            <w:r w:rsidRPr="00532C35">
              <w:t>80.0</w:t>
            </w:r>
          </w:p>
        </w:tc>
        <w:tc>
          <w:tcPr>
            <w:tcW w:w="1231" w:type="dxa"/>
            <w:tcMar>
              <w:top w:w="113" w:type="dxa"/>
              <w:left w:w="113" w:type="dxa"/>
              <w:bottom w:w="113" w:type="dxa"/>
              <w:right w:w="113" w:type="dxa"/>
            </w:tcMar>
            <w:vAlign w:val="center"/>
          </w:tcPr>
          <w:p w14:paraId="38D19CCB" w14:textId="77777777" w:rsidR="00F81F48" w:rsidRPr="00532C35" w:rsidRDefault="00F81F48" w:rsidP="00032BAE">
            <w:pPr>
              <w:pStyle w:val="CDIFigure-Table-BodyTextCentre"/>
            </w:pPr>
            <w:r w:rsidRPr="00532C35">
              <w:t>4</w:t>
            </w:r>
          </w:p>
        </w:tc>
        <w:tc>
          <w:tcPr>
            <w:tcW w:w="1231" w:type="dxa"/>
            <w:tcMar>
              <w:top w:w="113" w:type="dxa"/>
              <w:left w:w="113" w:type="dxa"/>
              <w:bottom w:w="113" w:type="dxa"/>
              <w:right w:w="113" w:type="dxa"/>
            </w:tcMar>
            <w:vAlign w:val="center"/>
          </w:tcPr>
          <w:p w14:paraId="5C78FC60" w14:textId="77777777" w:rsidR="00F81F48" w:rsidRPr="00532C35" w:rsidRDefault="00F81F48" w:rsidP="00032BAE">
            <w:pPr>
              <w:pStyle w:val="CDIFigure-Table-BodyTextCentre"/>
            </w:pPr>
            <w:r w:rsidRPr="00532C35">
              <w:t>80.0</w:t>
            </w:r>
          </w:p>
        </w:tc>
        <w:tc>
          <w:tcPr>
            <w:tcW w:w="1231" w:type="dxa"/>
            <w:tcMar>
              <w:top w:w="113" w:type="dxa"/>
              <w:left w:w="113" w:type="dxa"/>
              <w:bottom w:w="113" w:type="dxa"/>
              <w:right w:w="113" w:type="dxa"/>
            </w:tcMar>
            <w:vAlign w:val="center"/>
          </w:tcPr>
          <w:p w14:paraId="2876C68B" w14:textId="77777777" w:rsidR="00F81F48" w:rsidRPr="00532C35" w:rsidRDefault="00F81F48" w:rsidP="00032BAE">
            <w:pPr>
              <w:pStyle w:val="CDIFigure-Table-BodyTextCentre"/>
            </w:pPr>
            <w:r w:rsidRPr="00532C35">
              <w:t>5</w:t>
            </w:r>
          </w:p>
        </w:tc>
      </w:tr>
      <w:tr w:rsidR="00F81F48" w:rsidRPr="00532C35" w14:paraId="42BDFD75" w14:textId="77777777" w:rsidTr="00F81F48">
        <w:trPr>
          <w:divId w:val="935526654"/>
          <w:trHeight w:val="20"/>
        </w:trPr>
        <w:tc>
          <w:tcPr>
            <w:tcW w:w="1020" w:type="dxa"/>
            <w:shd w:val="clear" w:color="auto" w:fill="C5FFEF" w:themeFill="background2" w:themeFillTint="33"/>
            <w:tcMar>
              <w:top w:w="113" w:type="dxa"/>
              <w:left w:w="113" w:type="dxa"/>
              <w:bottom w:w="113" w:type="dxa"/>
              <w:right w:w="113" w:type="dxa"/>
            </w:tcMar>
            <w:vAlign w:val="center"/>
          </w:tcPr>
          <w:p w14:paraId="22D640BB" w14:textId="77777777" w:rsidR="00F81F48" w:rsidRPr="00532C35" w:rsidRDefault="00F81F48" w:rsidP="00032BAE">
            <w:pPr>
              <w:pStyle w:val="CDIFigure-Table-TotalLeft"/>
            </w:pPr>
            <w:r w:rsidRPr="00532C35">
              <w:t xml:space="preserve">Total </w:t>
            </w:r>
          </w:p>
        </w:tc>
        <w:tc>
          <w:tcPr>
            <w:tcW w:w="1232" w:type="dxa"/>
            <w:shd w:val="clear" w:color="auto" w:fill="C5FFEF" w:themeFill="background2" w:themeFillTint="33"/>
            <w:tcMar>
              <w:top w:w="113" w:type="dxa"/>
              <w:left w:w="113" w:type="dxa"/>
              <w:bottom w:w="113" w:type="dxa"/>
              <w:right w:w="113" w:type="dxa"/>
            </w:tcMar>
            <w:vAlign w:val="center"/>
          </w:tcPr>
          <w:p w14:paraId="107E094C" w14:textId="77777777" w:rsidR="00F81F48" w:rsidRPr="00532C35" w:rsidRDefault="00F81F48" w:rsidP="00032BAE">
            <w:pPr>
              <w:pStyle w:val="CDIFigure-Table-TotalCentre"/>
            </w:pPr>
            <w:r w:rsidRPr="00532C35">
              <w:t>311</w:t>
            </w:r>
          </w:p>
        </w:tc>
        <w:tc>
          <w:tcPr>
            <w:tcW w:w="1231" w:type="dxa"/>
            <w:shd w:val="clear" w:color="auto" w:fill="C5FFEF" w:themeFill="background2" w:themeFillTint="33"/>
            <w:tcMar>
              <w:top w:w="113" w:type="dxa"/>
              <w:left w:w="113" w:type="dxa"/>
              <w:bottom w:w="113" w:type="dxa"/>
              <w:right w:w="113" w:type="dxa"/>
            </w:tcMar>
            <w:vAlign w:val="center"/>
          </w:tcPr>
          <w:p w14:paraId="4E376766" w14:textId="77777777" w:rsidR="00F81F48" w:rsidRPr="00532C35" w:rsidRDefault="00F81F48" w:rsidP="00032BAE">
            <w:pPr>
              <w:pStyle w:val="CDIFigure-Table-TotalCentre"/>
            </w:pPr>
            <w:r w:rsidRPr="00532C35">
              <w:t>96.6</w:t>
            </w:r>
          </w:p>
        </w:tc>
        <w:tc>
          <w:tcPr>
            <w:tcW w:w="1231" w:type="dxa"/>
            <w:shd w:val="clear" w:color="auto" w:fill="C5FFEF" w:themeFill="background2" w:themeFillTint="33"/>
            <w:tcMar>
              <w:top w:w="113" w:type="dxa"/>
              <w:left w:w="113" w:type="dxa"/>
              <w:bottom w:w="113" w:type="dxa"/>
              <w:right w:w="113" w:type="dxa"/>
            </w:tcMar>
            <w:vAlign w:val="center"/>
          </w:tcPr>
          <w:p w14:paraId="3E869623" w14:textId="77777777" w:rsidR="00F81F48" w:rsidRPr="00532C35" w:rsidRDefault="00F81F48" w:rsidP="00032BAE">
            <w:pPr>
              <w:pStyle w:val="CDIFigure-Table-TotalCentre"/>
            </w:pPr>
            <w:r w:rsidRPr="00532C35">
              <w:t>178</w:t>
            </w:r>
          </w:p>
        </w:tc>
        <w:tc>
          <w:tcPr>
            <w:tcW w:w="1231" w:type="dxa"/>
            <w:shd w:val="clear" w:color="auto" w:fill="C5FFEF" w:themeFill="background2" w:themeFillTint="33"/>
            <w:tcMar>
              <w:top w:w="113" w:type="dxa"/>
              <w:left w:w="113" w:type="dxa"/>
              <w:bottom w:w="113" w:type="dxa"/>
              <w:right w:w="113" w:type="dxa"/>
            </w:tcMar>
            <w:vAlign w:val="center"/>
          </w:tcPr>
          <w:p w14:paraId="4C3A8DA3" w14:textId="77777777" w:rsidR="00F81F48" w:rsidRPr="00532C35" w:rsidRDefault="00F81F48" w:rsidP="00032BAE">
            <w:pPr>
              <w:pStyle w:val="CDIFigure-Table-TotalCentre"/>
            </w:pPr>
            <w:r w:rsidRPr="00532C35">
              <w:t>55.3</w:t>
            </w:r>
          </w:p>
        </w:tc>
        <w:tc>
          <w:tcPr>
            <w:tcW w:w="1231" w:type="dxa"/>
            <w:shd w:val="clear" w:color="auto" w:fill="C5FFEF" w:themeFill="background2" w:themeFillTint="33"/>
            <w:tcMar>
              <w:top w:w="113" w:type="dxa"/>
              <w:left w:w="113" w:type="dxa"/>
              <w:bottom w:w="113" w:type="dxa"/>
              <w:right w:w="113" w:type="dxa"/>
            </w:tcMar>
            <w:vAlign w:val="center"/>
          </w:tcPr>
          <w:p w14:paraId="7D5886A5" w14:textId="77777777" w:rsidR="00F81F48" w:rsidRPr="00532C35" w:rsidRDefault="00F81F48" w:rsidP="00032BAE">
            <w:pPr>
              <w:pStyle w:val="CDIFigure-Table-TotalCentre"/>
            </w:pPr>
            <w:r w:rsidRPr="00532C35">
              <w:t>302</w:t>
            </w:r>
          </w:p>
        </w:tc>
        <w:tc>
          <w:tcPr>
            <w:tcW w:w="1231" w:type="dxa"/>
            <w:shd w:val="clear" w:color="auto" w:fill="C5FFEF" w:themeFill="background2" w:themeFillTint="33"/>
            <w:tcMar>
              <w:top w:w="113" w:type="dxa"/>
              <w:left w:w="113" w:type="dxa"/>
              <w:bottom w:w="113" w:type="dxa"/>
              <w:right w:w="113" w:type="dxa"/>
            </w:tcMar>
            <w:vAlign w:val="center"/>
          </w:tcPr>
          <w:p w14:paraId="48325F60" w14:textId="77777777" w:rsidR="00F81F48" w:rsidRPr="00532C35" w:rsidRDefault="00F81F48" w:rsidP="00032BAE">
            <w:pPr>
              <w:pStyle w:val="CDIFigure-Table-TotalCentre"/>
            </w:pPr>
            <w:r w:rsidRPr="00532C35">
              <w:t>93.8</w:t>
            </w:r>
          </w:p>
        </w:tc>
        <w:tc>
          <w:tcPr>
            <w:tcW w:w="1231" w:type="dxa"/>
            <w:shd w:val="clear" w:color="auto" w:fill="C5FFEF" w:themeFill="background2" w:themeFillTint="33"/>
            <w:tcMar>
              <w:top w:w="113" w:type="dxa"/>
              <w:left w:w="113" w:type="dxa"/>
              <w:bottom w:w="113" w:type="dxa"/>
              <w:right w:w="113" w:type="dxa"/>
            </w:tcMar>
            <w:vAlign w:val="center"/>
          </w:tcPr>
          <w:p w14:paraId="4F81D465" w14:textId="77777777" w:rsidR="00F81F48" w:rsidRPr="00532C35" w:rsidRDefault="00F81F48" w:rsidP="00032BAE">
            <w:pPr>
              <w:pStyle w:val="CDIFigure-Table-TotalCentre"/>
            </w:pPr>
            <w:r w:rsidRPr="00532C35">
              <w:t>322</w:t>
            </w:r>
          </w:p>
        </w:tc>
      </w:tr>
    </w:tbl>
    <w:p w14:paraId="51E2258E" w14:textId="7865A312" w:rsidR="00F81F48" w:rsidRDefault="00F81F48" w:rsidP="00F81F48">
      <w:pPr>
        <w:pStyle w:val="CDITable-Firstfootnote"/>
        <w:divId w:val="935526654"/>
      </w:pPr>
      <w:r w:rsidRPr="00F81F48">
        <w:t>a</w:t>
      </w:r>
      <w:r w:rsidRPr="00F81F48">
        <w:tab/>
        <w:t>Denominator for percentages is the number attending the vaccination clinic from the indicated farm(s).</w:t>
      </w:r>
    </w:p>
    <w:p w14:paraId="2A75533D" w14:textId="77777777" w:rsidR="00F81F48" w:rsidRDefault="00F81F48" w:rsidP="00F81F48">
      <w:pPr>
        <w:pStyle w:val="Heading2"/>
        <w:divId w:val="935526654"/>
      </w:pPr>
      <w:r w:rsidRPr="007808F7">
        <w:t>Serological</w:t>
      </w:r>
    </w:p>
    <w:p w14:paraId="720717BC" w14:textId="77777777" w:rsidR="00F81F48" w:rsidRPr="007808F7" w:rsidRDefault="00F81F48" w:rsidP="00F81F48">
      <w:pPr>
        <w:divId w:val="935526654"/>
        <w:rPr>
          <w:lang w:val="en-GB"/>
        </w:rPr>
      </w:pPr>
      <w:r w:rsidRPr="007808F7">
        <w:rPr>
          <w:lang w:val="en-GB"/>
        </w:rPr>
        <w:t xml:space="preserve">Within the study population, 178/322 participants (55.3%) had sera collected; however, there were only 165 returned serological results among all participants (Figure 1). Thirteen samples did not return results, as they were either ineligible or were not received by the laboratory. Of those 165 workers and/or residents, 153 were Australian born (Figure 1). The JEV </w:t>
      </w:r>
      <w:proofErr w:type="spellStart"/>
      <w:r w:rsidRPr="007808F7">
        <w:rPr>
          <w:lang w:val="en-GB"/>
        </w:rPr>
        <w:t>sero</w:t>
      </w:r>
      <w:proofErr w:type="spellEnd"/>
      <w:r w:rsidRPr="007808F7">
        <w:rPr>
          <w:lang w:val="en-GB"/>
        </w:rPr>
        <w:t>-prevalence among Australian-born participants was 6.5% (95% CI: 3.4–12.0%).</w:t>
      </w:r>
    </w:p>
    <w:p w14:paraId="15267991" w14:textId="77777777" w:rsidR="00F81F48" w:rsidRDefault="00F81F48" w:rsidP="00F81F48">
      <w:pPr>
        <w:pStyle w:val="Heading2"/>
        <w:divId w:val="935526654"/>
      </w:pPr>
      <w:r w:rsidRPr="007808F7">
        <w:lastRenderedPageBreak/>
        <w:t>Risk factor analysis</w:t>
      </w:r>
    </w:p>
    <w:p w14:paraId="0012634E" w14:textId="77777777" w:rsidR="00F81F48" w:rsidRPr="007808F7" w:rsidRDefault="00F81F48" w:rsidP="00F81F48">
      <w:pPr>
        <w:divId w:val="935526654"/>
        <w:rPr>
          <w:lang w:val="en-GB"/>
        </w:rPr>
      </w:pPr>
      <w:r w:rsidRPr="007808F7">
        <w:rPr>
          <w:lang w:val="en-GB"/>
        </w:rPr>
        <w:t>Of the 153 Australian-born participants who had serological results, 129 verbally consented to complete the extended questionnaire. The average age of extended questionnaire respondents was 43.5 years (95% CI: 41.1–46.0 years). Among the respondents, 87/129 (67.4%) lived in NSW (95% CI: 60.4–76.6%) and 80/129 (62.0%) were male (95% CI: 53.6–70.4%).</w:t>
      </w:r>
    </w:p>
    <w:p w14:paraId="5C786094" w14:textId="77777777" w:rsidR="00F81F48" w:rsidRDefault="00F81F48" w:rsidP="00F81F48">
      <w:pPr>
        <w:divId w:val="935526654"/>
        <w:rPr>
          <w:lang w:val="en-GB"/>
        </w:rPr>
        <w:sectPr w:rsidR="00F81F48" w:rsidSect="00F81F48">
          <w:headerReference w:type="even" r:id="rId10"/>
          <w:headerReference w:type="default" r:id="rId11"/>
          <w:footerReference w:type="even" r:id="rId12"/>
          <w:footerReference w:type="default" r:id="rId13"/>
          <w:headerReference w:type="first" r:id="rId14"/>
          <w:footerReference w:type="first" r:id="rId15"/>
          <w:footnotePr>
            <w:numFmt w:val="lowerRoman"/>
          </w:footnotePr>
          <w:pgSz w:w="11907" w:h="16840" w:code="9"/>
          <w:pgMar w:top="1304" w:right="1134" w:bottom="1304" w:left="1134" w:header="709" w:footer="527" w:gutter="0"/>
          <w:cols w:space="708"/>
          <w:titlePg/>
          <w:docGrid w:linePitch="360"/>
        </w:sectPr>
      </w:pPr>
      <w:r w:rsidRPr="007808F7">
        <w:rPr>
          <w:lang w:val="en-GB"/>
        </w:rPr>
        <w:t>Ten of the extended questionnaire respondents (7.8%) had JEV-positive serology (Table 2; Appendix A, Table A.1). No risk exposures had PORs reaching statistical significance, although elevated PORs were found for those who worked on or visited a farm other than the workplace piggery and for those who were male (Table 2).</w:t>
      </w:r>
    </w:p>
    <w:p w14:paraId="68D15A2F" w14:textId="066C6A01" w:rsidR="00F81F48" w:rsidRDefault="00462748" w:rsidP="00462748">
      <w:pPr>
        <w:pStyle w:val="CDITable-Titlenospacebefore"/>
        <w:divId w:val="935526654"/>
      </w:pPr>
      <w:r w:rsidRPr="00462748">
        <w:lastRenderedPageBreak/>
        <w:t xml:space="preserve">Table 2: Summary of selected risk factors of in any setting, at work and recreationally/residentially in Australian-born participants with prevalence odds ratios, and </w:t>
      </w:r>
      <w:r w:rsidRPr="00462748">
        <w:rPr>
          <w:i/>
          <w:iCs/>
        </w:rPr>
        <w:t>p</w:t>
      </w:r>
      <w:r w:rsidRPr="00462748">
        <w:t>-values, March 2022</w:t>
      </w:r>
    </w:p>
    <w:tbl>
      <w:tblPr>
        <w:tblW w:w="14175" w:type="dxa"/>
        <w:tblLayout w:type="fixed"/>
        <w:tblCellMar>
          <w:left w:w="0" w:type="dxa"/>
          <w:right w:w="0" w:type="dxa"/>
        </w:tblCellMar>
        <w:tblLook w:val="0000" w:firstRow="0" w:lastRow="0" w:firstColumn="0" w:lastColumn="0" w:noHBand="0" w:noVBand="0"/>
        <w:tblCaption w:val="Table 2: Summary of selected risk factors of in any setting, at work and recreationally/residentially in Australian-born participants with prevalence odds ratios, and p-values, March 2022"/>
        <w:tblDescription w:val="Table 2 shows the odds ratio and p-value for risk variables associated with Japanese encephalitis among piggery workers when they are at work, outside of work and a combination of both. Risk variables tested here are: exposure to stagnant water (irrigation channels); exposure to bodies of water (rivers, lakes); worked on or visited a farm other than the workplace; has directly worked with pigs; the male gender; worked outside either at dawn or dusk; worked outside for more than 8 hours a week; direct contact with animals outside of work (pigs, horses, cattle, water birds); gardening at home; camping and lives on a farm; lives in the state of New South Wales (NSW)."/>
      </w:tblPr>
      <w:tblGrid>
        <w:gridCol w:w="1701"/>
        <w:gridCol w:w="4139"/>
        <w:gridCol w:w="1053"/>
        <w:gridCol w:w="1053"/>
        <w:gridCol w:w="1053"/>
        <w:gridCol w:w="1053"/>
        <w:gridCol w:w="1374"/>
        <w:gridCol w:w="1374"/>
        <w:gridCol w:w="1375"/>
      </w:tblGrid>
      <w:tr w:rsidR="00462748" w:rsidRPr="00E657B1" w14:paraId="5315FD5A" w14:textId="77777777" w:rsidTr="00462748">
        <w:trPr>
          <w:divId w:val="935526654"/>
          <w:trHeight w:val="20"/>
          <w:tblHeader/>
        </w:trPr>
        <w:tc>
          <w:tcPr>
            <w:tcW w:w="1701" w:type="dxa"/>
            <w:vMerge w:val="restart"/>
            <w:shd w:val="solid" w:color="033636" w:fill="auto"/>
            <w:tcMar>
              <w:top w:w="113" w:type="dxa"/>
              <w:left w:w="113" w:type="dxa"/>
              <w:bottom w:w="113" w:type="dxa"/>
              <w:right w:w="113" w:type="dxa"/>
            </w:tcMar>
            <w:vAlign w:val="bottom"/>
          </w:tcPr>
          <w:p w14:paraId="4EB2F884" w14:textId="77777777" w:rsidR="00462748" w:rsidRPr="00E657B1" w:rsidRDefault="00462748" w:rsidP="00032BAE">
            <w:pPr>
              <w:pStyle w:val="CDIFigure-Table-H1Left"/>
            </w:pPr>
            <w:r w:rsidRPr="00E657B1">
              <w:t>Setting type</w:t>
            </w:r>
          </w:p>
        </w:tc>
        <w:tc>
          <w:tcPr>
            <w:tcW w:w="4139" w:type="dxa"/>
            <w:vMerge w:val="restart"/>
            <w:shd w:val="solid" w:color="033636" w:fill="auto"/>
            <w:tcMar>
              <w:top w:w="113" w:type="dxa"/>
              <w:left w:w="113" w:type="dxa"/>
              <w:bottom w:w="113" w:type="dxa"/>
              <w:right w:w="113" w:type="dxa"/>
            </w:tcMar>
            <w:vAlign w:val="bottom"/>
          </w:tcPr>
          <w:p w14:paraId="42F4C974" w14:textId="77777777" w:rsidR="00462748" w:rsidRPr="00E657B1" w:rsidRDefault="00462748" w:rsidP="00032BAE">
            <w:pPr>
              <w:pStyle w:val="CDIFigure-Table-H1Left"/>
            </w:pPr>
            <w:r w:rsidRPr="00E657B1">
              <w:t>Risk variable</w:t>
            </w:r>
          </w:p>
        </w:tc>
        <w:tc>
          <w:tcPr>
            <w:tcW w:w="2106" w:type="dxa"/>
            <w:gridSpan w:val="2"/>
            <w:tcBorders>
              <w:bottom w:val="single" w:sz="4" w:space="0" w:color="FFFFFF" w:themeColor="background1"/>
            </w:tcBorders>
            <w:shd w:val="solid" w:color="033636" w:fill="auto"/>
            <w:tcMar>
              <w:top w:w="113" w:type="dxa"/>
              <w:left w:w="113" w:type="dxa"/>
              <w:bottom w:w="113" w:type="dxa"/>
              <w:right w:w="113" w:type="dxa"/>
            </w:tcMar>
            <w:vAlign w:val="bottom"/>
          </w:tcPr>
          <w:p w14:paraId="43E13764" w14:textId="77777777" w:rsidR="00462748" w:rsidRPr="00E657B1" w:rsidRDefault="00462748" w:rsidP="00032BAE">
            <w:pPr>
              <w:pStyle w:val="CDIFigure-Table-H1"/>
            </w:pPr>
            <w:r w:rsidRPr="00E657B1">
              <w:t>Seropositive</w:t>
            </w:r>
            <w:r w:rsidRPr="00E657B1">
              <w:br/>
              <w:t>(N =10)</w:t>
            </w:r>
          </w:p>
        </w:tc>
        <w:tc>
          <w:tcPr>
            <w:tcW w:w="2106" w:type="dxa"/>
            <w:gridSpan w:val="2"/>
            <w:tcBorders>
              <w:bottom w:val="single" w:sz="4" w:space="0" w:color="FFFFFF" w:themeColor="background1"/>
            </w:tcBorders>
            <w:shd w:val="solid" w:color="033636" w:fill="auto"/>
            <w:tcMar>
              <w:top w:w="113" w:type="dxa"/>
              <w:left w:w="113" w:type="dxa"/>
              <w:bottom w:w="113" w:type="dxa"/>
              <w:right w:w="113" w:type="dxa"/>
            </w:tcMar>
            <w:vAlign w:val="bottom"/>
          </w:tcPr>
          <w:p w14:paraId="3216BF69" w14:textId="77777777" w:rsidR="00462748" w:rsidRPr="00E657B1" w:rsidRDefault="00462748" w:rsidP="00032BAE">
            <w:pPr>
              <w:pStyle w:val="CDIFigure-Table-H1"/>
            </w:pPr>
            <w:r w:rsidRPr="00E657B1">
              <w:t>Seronegative</w:t>
            </w:r>
            <w:r w:rsidRPr="00E657B1">
              <w:br/>
              <w:t>(N = 119)</w:t>
            </w:r>
          </w:p>
        </w:tc>
        <w:tc>
          <w:tcPr>
            <w:tcW w:w="1374" w:type="dxa"/>
            <w:vMerge w:val="restart"/>
            <w:shd w:val="solid" w:color="033636" w:fill="auto"/>
            <w:tcMar>
              <w:top w:w="113" w:type="dxa"/>
              <w:left w:w="113" w:type="dxa"/>
              <w:bottom w:w="113" w:type="dxa"/>
              <w:right w:w="113" w:type="dxa"/>
            </w:tcMar>
            <w:vAlign w:val="bottom"/>
          </w:tcPr>
          <w:p w14:paraId="2DB9EEF2" w14:textId="77777777" w:rsidR="00462748" w:rsidRPr="00E657B1" w:rsidRDefault="00462748" w:rsidP="00032BAE">
            <w:pPr>
              <w:pStyle w:val="CDIFigure-Table-H1"/>
            </w:pPr>
            <w:proofErr w:type="spellStart"/>
            <w:r w:rsidRPr="00E657B1">
              <w:t>POR</w:t>
            </w:r>
            <w:r w:rsidRPr="00E657B1">
              <w:rPr>
                <w:vertAlign w:val="superscript"/>
              </w:rPr>
              <w:t>a</w:t>
            </w:r>
            <w:proofErr w:type="spellEnd"/>
          </w:p>
        </w:tc>
        <w:tc>
          <w:tcPr>
            <w:tcW w:w="1374" w:type="dxa"/>
            <w:vMerge w:val="restart"/>
            <w:shd w:val="solid" w:color="033636" w:fill="auto"/>
            <w:tcMar>
              <w:top w:w="113" w:type="dxa"/>
              <w:left w:w="113" w:type="dxa"/>
              <w:bottom w:w="113" w:type="dxa"/>
              <w:right w:w="113" w:type="dxa"/>
            </w:tcMar>
            <w:vAlign w:val="bottom"/>
          </w:tcPr>
          <w:p w14:paraId="51107E8C" w14:textId="77777777" w:rsidR="00462748" w:rsidRPr="00E657B1" w:rsidRDefault="00462748" w:rsidP="00032BAE">
            <w:pPr>
              <w:pStyle w:val="CDIFigure-Table-H1"/>
            </w:pPr>
            <w:r w:rsidRPr="00E657B1">
              <w:t xml:space="preserve">95% </w:t>
            </w:r>
            <w:proofErr w:type="spellStart"/>
            <w:r w:rsidRPr="00E657B1">
              <w:t>CI</w:t>
            </w:r>
            <w:r w:rsidRPr="00E657B1">
              <w:rPr>
                <w:vertAlign w:val="superscript"/>
              </w:rPr>
              <w:t>b</w:t>
            </w:r>
            <w:proofErr w:type="spellEnd"/>
          </w:p>
        </w:tc>
        <w:tc>
          <w:tcPr>
            <w:tcW w:w="1375" w:type="dxa"/>
            <w:vMerge w:val="restart"/>
            <w:shd w:val="solid" w:color="033636" w:fill="auto"/>
            <w:tcMar>
              <w:top w:w="113" w:type="dxa"/>
              <w:left w:w="113" w:type="dxa"/>
              <w:bottom w:w="113" w:type="dxa"/>
              <w:right w:w="113" w:type="dxa"/>
            </w:tcMar>
            <w:vAlign w:val="bottom"/>
          </w:tcPr>
          <w:p w14:paraId="00D3A963" w14:textId="77777777" w:rsidR="00462748" w:rsidRPr="00E657B1" w:rsidRDefault="00462748" w:rsidP="00032BAE">
            <w:pPr>
              <w:pStyle w:val="CDIFigure-Table-H1"/>
            </w:pPr>
            <w:r w:rsidRPr="00E657B1">
              <w:rPr>
                <w:i/>
                <w:iCs/>
              </w:rPr>
              <w:t>p</w:t>
            </w:r>
            <w:r w:rsidRPr="00E657B1">
              <w:t xml:space="preserve"> value</w:t>
            </w:r>
          </w:p>
        </w:tc>
      </w:tr>
      <w:tr w:rsidR="00462748" w:rsidRPr="00E657B1" w14:paraId="7385FBBF" w14:textId="77777777" w:rsidTr="00462748">
        <w:trPr>
          <w:divId w:val="935526654"/>
          <w:trHeight w:val="20"/>
          <w:tblHeader/>
        </w:trPr>
        <w:tc>
          <w:tcPr>
            <w:tcW w:w="1701" w:type="dxa"/>
            <w:vMerge/>
          </w:tcPr>
          <w:p w14:paraId="0DA53CFE" w14:textId="77777777" w:rsidR="00462748" w:rsidRPr="00E657B1" w:rsidRDefault="00462748" w:rsidP="00032BAE"/>
        </w:tc>
        <w:tc>
          <w:tcPr>
            <w:tcW w:w="4139" w:type="dxa"/>
            <w:vMerge/>
          </w:tcPr>
          <w:p w14:paraId="17218C4E" w14:textId="77777777" w:rsidR="00462748" w:rsidRPr="00E657B1" w:rsidRDefault="00462748" w:rsidP="00032BAE"/>
        </w:tc>
        <w:tc>
          <w:tcPr>
            <w:tcW w:w="1053" w:type="dxa"/>
            <w:tcBorders>
              <w:top w:val="single" w:sz="4" w:space="0" w:color="FFFFFF" w:themeColor="background1"/>
            </w:tcBorders>
            <w:shd w:val="solid" w:color="033636" w:fill="auto"/>
            <w:tcMar>
              <w:top w:w="113" w:type="dxa"/>
              <w:left w:w="113" w:type="dxa"/>
              <w:bottom w:w="113" w:type="dxa"/>
              <w:right w:w="113" w:type="dxa"/>
            </w:tcMar>
            <w:vAlign w:val="bottom"/>
          </w:tcPr>
          <w:p w14:paraId="7D10505E" w14:textId="77777777" w:rsidR="00462748" w:rsidRPr="00E657B1" w:rsidRDefault="00462748" w:rsidP="00032BAE">
            <w:pPr>
              <w:pStyle w:val="CDIFigure-Table-H1"/>
            </w:pPr>
            <w:r w:rsidRPr="00E657B1">
              <w:t>n</w:t>
            </w:r>
          </w:p>
        </w:tc>
        <w:tc>
          <w:tcPr>
            <w:tcW w:w="1053" w:type="dxa"/>
            <w:tcBorders>
              <w:top w:val="single" w:sz="4" w:space="0" w:color="FFFFFF" w:themeColor="background1"/>
            </w:tcBorders>
            <w:shd w:val="solid" w:color="033636" w:fill="auto"/>
            <w:tcMar>
              <w:top w:w="113" w:type="dxa"/>
              <w:left w:w="113" w:type="dxa"/>
              <w:bottom w:w="113" w:type="dxa"/>
              <w:right w:w="113" w:type="dxa"/>
            </w:tcMar>
            <w:vAlign w:val="bottom"/>
          </w:tcPr>
          <w:p w14:paraId="75E823A6" w14:textId="77777777" w:rsidR="00462748" w:rsidRPr="00E657B1" w:rsidRDefault="00462748" w:rsidP="00032BAE">
            <w:pPr>
              <w:pStyle w:val="CDIFigure-Table-H1"/>
            </w:pPr>
            <w:r w:rsidRPr="00E657B1">
              <w:t>%</w:t>
            </w:r>
          </w:p>
        </w:tc>
        <w:tc>
          <w:tcPr>
            <w:tcW w:w="1053" w:type="dxa"/>
            <w:tcBorders>
              <w:top w:val="single" w:sz="4" w:space="0" w:color="FFFFFF" w:themeColor="background1"/>
            </w:tcBorders>
            <w:shd w:val="solid" w:color="033636" w:fill="auto"/>
            <w:tcMar>
              <w:top w:w="113" w:type="dxa"/>
              <w:left w:w="113" w:type="dxa"/>
              <w:bottom w:w="113" w:type="dxa"/>
              <w:right w:w="113" w:type="dxa"/>
            </w:tcMar>
            <w:vAlign w:val="bottom"/>
          </w:tcPr>
          <w:p w14:paraId="65ACA119" w14:textId="77777777" w:rsidR="00462748" w:rsidRPr="00E657B1" w:rsidRDefault="00462748" w:rsidP="00032BAE">
            <w:pPr>
              <w:pStyle w:val="CDIFigure-Table-H1"/>
            </w:pPr>
            <w:r w:rsidRPr="00E657B1">
              <w:t>n</w:t>
            </w:r>
          </w:p>
        </w:tc>
        <w:tc>
          <w:tcPr>
            <w:tcW w:w="1053" w:type="dxa"/>
            <w:tcBorders>
              <w:top w:val="single" w:sz="4" w:space="0" w:color="FFFFFF" w:themeColor="background1"/>
            </w:tcBorders>
            <w:shd w:val="solid" w:color="033636" w:fill="auto"/>
            <w:tcMar>
              <w:top w:w="113" w:type="dxa"/>
              <w:left w:w="113" w:type="dxa"/>
              <w:bottom w:w="113" w:type="dxa"/>
              <w:right w:w="113" w:type="dxa"/>
            </w:tcMar>
            <w:vAlign w:val="bottom"/>
          </w:tcPr>
          <w:p w14:paraId="2AAD176C" w14:textId="77777777" w:rsidR="00462748" w:rsidRPr="00E657B1" w:rsidRDefault="00462748" w:rsidP="00032BAE">
            <w:pPr>
              <w:pStyle w:val="CDIFigure-Table-H1"/>
            </w:pPr>
            <w:r w:rsidRPr="00E657B1">
              <w:t>%</w:t>
            </w:r>
          </w:p>
        </w:tc>
        <w:tc>
          <w:tcPr>
            <w:tcW w:w="1374" w:type="dxa"/>
            <w:vMerge/>
          </w:tcPr>
          <w:p w14:paraId="4D684DD2" w14:textId="77777777" w:rsidR="00462748" w:rsidRPr="00E657B1" w:rsidRDefault="00462748" w:rsidP="00032BAE">
            <w:pPr>
              <w:pStyle w:val="CDIFigure-Table-H1"/>
            </w:pPr>
          </w:p>
        </w:tc>
        <w:tc>
          <w:tcPr>
            <w:tcW w:w="1374" w:type="dxa"/>
            <w:vMerge/>
          </w:tcPr>
          <w:p w14:paraId="357E44FC" w14:textId="77777777" w:rsidR="00462748" w:rsidRPr="00E657B1" w:rsidRDefault="00462748" w:rsidP="00032BAE">
            <w:pPr>
              <w:pStyle w:val="CDIFigure-Table-H1"/>
            </w:pPr>
          </w:p>
        </w:tc>
        <w:tc>
          <w:tcPr>
            <w:tcW w:w="1375" w:type="dxa"/>
            <w:vMerge/>
          </w:tcPr>
          <w:p w14:paraId="48294D44" w14:textId="77777777" w:rsidR="00462748" w:rsidRPr="00E657B1" w:rsidRDefault="00462748" w:rsidP="00032BAE">
            <w:pPr>
              <w:pStyle w:val="CDIFigure-Table-H1"/>
            </w:pPr>
          </w:p>
        </w:tc>
      </w:tr>
      <w:tr w:rsidR="00462748" w:rsidRPr="00E657B1" w14:paraId="7DDF7806" w14:textId="77777777" w:rsidTr="00462748">
        <w:trPr>
          <w:divId w:val="935526654"/>
          <w:trHeight w:val="20"/>
        </w:trPr>
        <w:tc>
          <w:tcPr>
            <w:tcW w:w="1701" w:type="dxa"/>
            <w:vMerge w:val="restart"/>
            <w:tcBorders>
              <w:bottom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7617CA9D" w14:textId="77777777" w:rsidR="00462748" w:rsidRPr="00E657B1" w:rsidRDefault="00462748" w:rsidP="00032BAE">
            <w:pPr>
              <w:pStyle w:val="CDIFigure-Table-BodyTextLeft"/>
            </w:pPr>
            <w:r w:rsidRPr="00E657B1">
              <w:t>In any setting</w:t>
            </w:r>
            <w:r w:rsidRPr="00E657B1">
              <w:br/>
              <w:t xml:space="preserve">(work and/or </w:t>
            </w:r>
            <w:r w:rsidRPr="00E657B1">
              <w:br/>
              <w:t>recreational/</w:t>
            </w:r>
            <w:r w:rsidRPr="00E657B1">
              <w:br/>
              <w:t>residential)</w:t>
            </w:r>
          </w:p>
        </w:tc>
        <w:tc>
          <w:tcPr>
            <w:tcW w:w="4139" w:type="dxa"/>
            <w:shd w:val="clear" w:color="auto" w:fill="F2F2F2" w:themeFill="background1" w:themeFillShade="F2"/>
            <w:tcMar>
              <w:top w:w="113" w:type="dxa"/>
              <w:left w:w="113" w:type="dxa"/>
              <w:bottom w:w="113" w:type="dxa"/>
              <w:right w:w="113" w:type="dxa"/>
            </w:tcMar>
            <w:vAlign w:val="center"/>
          </w:tcPr>
          <w:p w14:paraId="09C4EF89" w14:textId="77777777" w:rsidR="00462748" w:rsidRPr="00E657B1" w:rsidRDefault="00462748" w:rsidP="00462748">
            <w:pPr>
              <w:pStyle w:val="CDIFigure-Table-BodyTextLeft"/>
            </w:pPr>
            <w:r w:rsidRPr="00E657B1">
              <w:t>Exposure to bodies of water (e.g. rivers, lakes, creeks)</w:t>
            </w:r>
          </w:p>
        </w:tc>
        <w:tc>
          <w:tcPr>
            <w:tcW w:w="1053" w:type="dxa"/>
            <w:shd w:val="clear" w:color="auto" w:fill="F2F2F2" w:themeFill="background1" w:themeFillShade="F2"/>
            <w:tcMar>
              <w:top w:w="113" w:type="dxa"/>
              <w:left w:w="113" w:type="dxa"/>
              <w:bottom w:w="113" w:type="dxa"/>
              <w:right w:w="113" w:type="dxa"/>
            </w:tcMar>
            <w:vAlign w:val="center"/>
          </w:tcPr>
          <w:p w14:paraId="6326100B" w14:textId="77777777" w:rsidR="00462748" w:rsidRPr="00E657B1" w:rsidRDefault="00462748" w:rsidP="00032BAE">
            <w:pPr>
              <w:pStyle w:val="CDIFigure-Table-BodyTextCentre"/>
            </w:pPr>
            <w:r w:rsidRPr="00E657B1">
              <w:t>7</w:t>
            </w:r>
          </w:p>
        </w:tc>
        <w:tc>
          <w:tcPr>
            <w:tcW w:w="1053" w:type="dxa"/>
            <w:shd w:val="clear" w:color="auto" w:fill="F2F2F2" w:themeFill="background1" w:themeFillShade="F2"/>
            <w:tcMar>
              <w:top w:w="113" w:type="dxa"/>
              <w:left w:w="113" w:type="dxa"/>
              <w:bottom w:w="113" w:type="dxa"/>
              <w:right w:w="113" w:type="dxa"/>
            </w:tcMar>
            <w:vAlign w:val="center"/>
          </w:tcPr>
          <w:p w14:paraId="46425574" w14:textId="77777777" w:rsidR="00462748" w:rsidRPr="00E657B1" w:rsidRDefault="00462748" w:rsidP="00032BAE">
            <w:pPr>
              <w:pStyle w:val="CDIFigure-Table-BodyTextCentre"/>
            </w:pPr>
            <w:r w:rsidRPr="00E657B1">
              <w:t>70.0</w:t>
            </w:r>
          </w:p>
        </w:tc>
        <w:tc>
          <w:tcPr>
            <w:tcW w:w="1053" w:type="dxa"/>
            <w:shd w:val="clear" w:color="auto" w:fill="F2F2F2" w:themeFill="background1" w:themeFillShade="F2"/>
            <w:tcMar>
              <w:top w:w="113" w:type="dxa"/>
              <w:left w:w="113" w:type="dxa"/>
              <w:bottom w:w="113" w:type="dxa"/>
              <w:right w:w="113" w:type="dxa"/>
            </w:tcMar>
            <w:vAlign w:val="center"/>
          </w:tcPr>
          <w:p w14:paraId="79D52CB6" w14:textId="77777777" w:rsidR="00462748" w:rsidRPr="00E657B1" w:rsidRDefault="00462748" w:rsidP="00032BAE">
            <w:pPr>
              <w:pStyle w:val="CDIFigure-Table-BodyTextCentre"/>
            </w:pPr>
            <w:r w:rsidRPr="00E657B1">
              <w:t>85</w:t>
            </w:r>
          </w:p>
        </w:tc>
        <w:tc>
          <w:tcPr>
            <w:tcW w:w="1053" w:type="dxa"/>
            <w:shd w:val="clear" w:color="auto" w:fill="F2F2F2" w:themeFill="background1" w:themeFillShade="F2"/>
            <w:tcMar>
              <w:top w:w="113" w:type="dxa"/>
              <w:left w:w="113" w:type="dxa"/>
              <w:bottom w:w="113" w:type="dxa"/>
              <w:right w:w="113" w:type="dxa"/>
            </w:tcMar>
            <w:vAlign w:val="center"/>
          </w:tcPr>
          <w:p w14:paraId="02213FB3" w14:textId="77777777" w:rsidR="00462748" w:rsidRPr="00E657B1" w:rsidRDefault="00462748" w:rsidP="00032BAE">
            <w:pPr>
              <w:pStyle w:val="CDIFigure-Table-BodyTextCentre"/>
            </w:pPr>
            <w:r w:rsidRPr="00E657B1">
              <w:t>71.4</w:t>
            </w:r>
          </w:p>
        </w:tc>
        <w:tc>
          <w:tcPr>
            <w:tcW w:w="1374" w:type="dxa"/>
            <w:shd w:val="clear" w:color="auto" w:fill="F2F2F2" w:themeFill="background1" w:themeFillShade="F2"/>
            <w:tcMar>
              <w:top w:w="113" w:type="dxa"/>
              <w:left w:w="113" w:type="dxa"/>
              <w:bottom w:w="113" w:type="dxa"/>
              <w:right w:w="113" w:type="dxa"/>
            </w:tcMar>
            <w:vAlign w:val="center"/>
          </w:tcPr>
          <w:p w14:paraId="509579FD" w14:textId="77777777" w:rsidR="00462748" w:rsidRPr="00E657B1" w:rsidRDefault="00462748" w:rsidP="00032BAE">
            <w:pPr>
              <w:pStyle w:val="CDIFigure-Table-BodyTextCentre"/>
            </w:pPr>
            <w:r w:rsidRPr="00E657B1">
              <w:t>0.91</w:t>
            </w:r>
          </w:p>
        </w:tc>
        <w:tc>
          <w:tcPr>
            <w:tcW w:w="1374" w:type="dxa"/>
            <w:shd w:val="clear" w:color="auto" w:fill="F2F2F2" w:themeFill="background1" w:themeFillShade="F2"/>
            <w:tcMar>
              <w:top w:w="113" w:type="dxa"/>
              <w:left w:w="113" w:type="dxa"/>
              <w:bottom w:w="113" w:type="dxa"/>
              <w:right w:w="113" w:type="dxa"/>
            </w:tcMar>
            <w:vAlign w:val="center"/>
          </w:tcPr>
          <w:p w14:paraId="1175AF17" w14:textId="77777777" w:rsidR="00462748" w:rsidRPr="00E657B1" w:rsidRDefault="00462748" w:rsidP="00032BAE">
            <w:pPr>
              <w:pStyle w:val="CDIFigure-Table-BodyTextCentre"/>
            </w:pPr>
            <w:r w:rsidRPr="00E657B1">
              <w:t>0.23–4.67</w:t>
            </w:r>
          </w:p>
        </w:tc>
        <w:tc>
          <w:tcPr>
            <w:tcW w:w="1375" w:type="dxa"/>
            <w:shd w:val="clear" w:color="auto" w:fill="F2F2F2" w:themeFill="background1" w:themeFillShade="F2"/>
            <w:tcMar>
              <w:top w:w="113" w:type="dxa"/>
              <w:left w:w="113" w:type="dxa"/>
              <w:bottom w:w="113" w:type="dxa"/>
              <w:right w:w="113" w:type="dxa"/>
            </w:tcMar>
            <w:vAlign w:val="center"/>
          </w:tcPr>
          <w:p w14:paraId="6ACAB71B" w14:textId="77777777" w:rsidR="00462748" w:rsidRPr="00E657B1" w:rsidRDefault="00462748" w:rsidP="00032BAE">
            <w:pPr>
              <w:pStyle w:val="CDIFigure-Table-BodyTextCentre"/>
            </w:pPr>
            <w:r w:rsidRPr="00E657B1">
              <w:t>1</w:t>
            </w:r>
          </w:p>
        </w:tc>
      </w:tr>
      <w:tr w:rsidR="00462748" w:rsidRPr="00E657B1" w14:paraId="24C384BF" w14:textId="77777777" w:rsidTr="00462748">
        <w:trPr>
          <w:divId w:val="935526654"/>
          <w:trHeight w:val="20"/>
        </w:trPr>
        <w:tc>
          <w:tcPr>
            <w:tcW w:w="1701" w:type="dxa"/>
            <w:vMerge/>
            <w:tcBorders>
              <w:bottom w:val="single" w:sz="4" w:space="0" w:color="033636" w:themeColor="text2"/>
            </w:tcBorders>
            <w:shd w:val="clear" w:color="auto" w:fill="C5FFEF" w:themeFill="background2" w:themeFillTint="33"/>
          </w:tcPr>
          <w:p w14:paraId="010C69B5" w14:textId="77777777" w:rsidR="00462748" w:rsidRPr="00E657B1" w:rsidRDefault="00462748" w:rsidP="00032BAE"/>
        </w:tc>
        <w:tc>
          <w:tcPr>
            <w:tcW w:w="4139" w:type="dxa"/>
            <w:tcMar>
              <w:top w:w="113" w:type="dxa"/>
              <w:left w:w="113" w:type="dxa"/>
              <w:bottom w:w="113" w:type="dxa"/>
              <w:right w:w="113" w:type="dxa"/>
            </w:tcMar>
            <w:vAlign w:val="center"/>
          </w:tcPr>
          <w:p w14:paraId="543FEB0B" w14:textId="77777777" w:rsidR="00462748" w:rsidRPr="00E657B1" w:rsidRDefault="00462748" w:rsidP="00032BAE">
            <w:pPr>
              <w:pStyle w:val="CDIFigure-Table-BodyTextLeft"/>
            </w:pPr>
            <w:r w:rsidRPr="00E657B1">
              <w:t>Age &gt; 54 years</w:t>
            </w:r>
          </w:p>
        </w:tc>
        <w:tc>
          <w:tcPr>
            <w:tcW w:w="1053" w:type="dxa"/>
            <w:tcMar>
              <w:top w:w="113" w:type="dxa"/>
              <w:left w:w="113" w:type="dxa"/>
              <w:bottom w:w="113" w:type="dxa"/>
              <w:right w:w="113" w:type="dxa"/>
            </w:tcMar>
            <w:vAlign w:val="center"/>
          </w:tcPr>
          <w:p w14:paraId="3328D7DE" w14:textId="77777777" w:rsidR="00462748" w:rsidRPr="00E657B1" w:rsidRDefault="00462748" w:rsidP="00032BAE">
            <w:pPr>
              <w:pStyle w:val="CDIFigure-Table-BodyTextCentre"/>
            </w:pPr>
            <w:r w:rsidRPr="00E657B1">
              <w:t>6</w:t>
            </w:r>
          </w:p>
        </w:tc>
        <w:tc>
          <w:tcPr>
            <w:tcW w:w="1053" w:type="dxa"/>
            <w:tcMar>
              <w:top w:w="113" w:type="dxa"/>
              <w:left w:w="113" w:type="dxa"/>
              <w:bottom w:w="113" w:type="dxa"/>
              <w:right w:w="113" w:type="dxa"/>
            </w:tcMar>
            <w:vAlign w:val="center"/>
          </w:tcPr>
          <w:p w14:paraId="40EE40E8" w14:textId="77777777" w:rsidR="00462748" w:rsidRPr="00E657B1" w:rsidRDefault="00462748" w:rsidP="00032BAE">
            <w:pPr>
              <w:pStyle w:val="CDIFigure-Table-BodyTextCentre"/>
            </w:pPr>
            <w:r w:rsidRPr="00E657B1">
              <w:t>60.0</w:t>
            </w:r>
          </w:p>
        </w:tc>
        <w:tc>
          <w:tcPr>
            <w:tcW w:w="1053" w:type="dxa"/>
            <w:tcMar>
              <w:top w:w="113" w:type="dxa"/>
              <w:left w:w="113" w:type="dxa"/>
              <w:bottom w:w="113" w:type="dxa"/>
              <w:right w:w="113" w:type="dxa"/>
            </w:tcMar>
            <w:vAlign w:val="center"/>
          </w:tcPr>
          <w:p w14:paraId="0F3CD548" w14:textId="77777777" w:rsidR="00462748" w:rsidRPr="00E657B1" w:rsidRDefault="00462748" w:rsidP="00032BAE">
            <w:pPr>
              <w:pStyle w:val="CDIFigure-Table-BodyTextCentre"/>
            </w:pPr>
            <w:r w:rsidRPr="00E657B1">
              <w:t>87</w:t>
            </w:r>
          </w:p>
        </w:tc>
        <w:tc>
          <w:tcPr>
            <w:tcW w:w="1053" w:type="dxa"/>
            <w:tcMar>
              <w:top w:w="113" w:type="dxa"/>
              <w:left w:w="113" w:type="dxa"/>
              <w:bottom w:w="113" w:type="dxa"/>
              <w:right w:w="113" w:type="dxa"/>
            </w:tcMar>
            <w:vAlign w:val="center"/>
          </w:tcPr>
          <w:p w14:paraId="2BCEEC32" w14:textId="77777777" w:rsidR="00462748" w:rsidRPr="00E657B1" w:rsidRDefault="00462748" w:rsidP="00032BAE">
            <w:pPr>
              <w:pStyle w:val="CDIFigure-Table-BodyTextCentre"/>
            </w:pPr>
            <w:r w:rsidRPr="00E657B1">
              <w:t>73.1</w:t>
            </w:r>
          </w:p>
        </w:tc>
        <w:tc>
          <w:tcPr>
            <w:tcW w:w="1374" w:type="dxa"/>
            <w:tcMar>
              <w:top w:w="113" w:type="dxa"/>
              <w:left w:w="113" w:type="dxa"/>
              <w:bottom w:w="113" w:type="dxa"/>
              <w:right w:w="113" w:type="dxa"/>
            </w:tcMar>
            <w:vAlign w:val="center"/>
          </w:tcPr>
          <w:p w14:paraId="3C48071E" w14:textId="77777777" w:rsidR="00462748" w:rsidRPr="00E657B1" w:rsidRDefault="00462748" w:rsidP="00032BAE">
            <w:pPr>
              <w:pStyle w:val="CDIFigure-Table-BodyTextCentre"/>
            </w:pPr>
            <w:r w:rsidRPr="00E657B1">
              <w:t>1.88</w:t>
            </w:r>
          </w:p>
        </w:tc>
        <w:tc>
          <w:tcPr>
            <w:tcW w:w="1374" w:type="dxa"/>
            <w:tcMar>
              <w:top w:w="113" w:type="dxa"/>
              <w:left w:w="113" w:type="dxa"/>
              <w:bottom w:w="113" w:type="dxa"/>
              <w:right w:w="113" w:type="dxa"/>
            </w:tcMar>
            <w:vAlign w:val="center"/>
          </w:tcPr>
          <w:p w14:paraId="3245D248" w14:textId="77777777" w:rsidR="00462748" w:rsidRPr="00E657B1" w:rsidRDefault="00462748" w:rsidP="00032BAE">
            <w:pPr>
              <w:pStyle w:val="CDIFigure-Table-BodyTextCentre"/>
            </w:pPr>
            <w:r w:rsidRPr="00E657B1">
              <w:t>0.44–7.25</w:t>
            </w:r>
          </w:p>
        </w:tc>
        <w:tc>
          <w:tcPr>
            <w:tcW w:w="1375" w:type="dxa"/>
            <w:tcMar>
              <w:top w:w="113" w:type="dxa"/>
              <w:left w:w="113" w:type="dxa"/>
              <w:bottom w:w="113" w:type="dxa"/>
              <w:right w:w="113" w:type="dxa"/>
            </w:tcMar>
            <w:vAlign w:val="center"/>
          </w:tcPr>
          <w:p w14:paraId="3BA0D977" w14:textId="77777777" w:rsidR="00462748" w:rsidRPr="00E657B1" w:rsidRDefault="00462748" w:rsidP="00032BAE">
            <w:pPr>
              <w:pStyle w:val="CDIFigure-Table-BodyTextCentre"/>
            </w:pPr>
            <w:r w:rsidRPr="00E657B1">
              <w:t>0.50</w:t>
            </w:r>
          </w:p>
        </w:tc>
      </w:tr>
      <w:tr w:rsidR="00462748" w:rsidRPr="00E657B1" w14:paraId="35157103" w14:textId="77777777" w:rsidTr="00462748">
        <w:trPr>
          <w:divId w:val="935526654"/>
          <w:trHeight w:val="20"/>
        </w:trPr>
        <w:tc>
          <w:tcPr>
            <w:tcW w:w="1701" w:type="dxa"/>
            <w:vMerge/>
            <w:tcBorders>
              <w:bottom w:val="single" w:sz="4" w:space="0" w:color="033636" w:themeColor="text2"/>
            </w:tcBorders>
            <w:shd w:val="clear" w:color="auto" w:fill="C5FFEF" w:themeFill="background2" w:themeFillTint="33"/>
          </w:tcPr>
          <w:p w14:paraId="7BC8570B" w14:textId="77777777" w:rsidR="00462748" w:rsidRPr="00E657B1" w:rsidRDefault="00462748" w:rsidP="00032BAE"/>
        </w:tc>
        <w:tc>
          <w:tcPr>
            <w:tcW w:w="4139" w:type="dxa"/>
            <w:shd w:val="clear" w:color="auto" w:fill="F2F2F2" w:themeFill="background1" w:themeFillShade="F2"/>
            <w:tcMar>
              <w:top w:w="113" w:type="dxa"/>
              <w:left w:w="113" w:type="dxa"/>
              <w:bottom w:w="113" w:type="dxa"/>
              <w:right w:w="113" w:type="dxa"/>
            </w:tcMar>
            <w:vAlign w:val="center"/>
          </w:tcPr>
          <w:p w14:paraId="4FC04206" w14:textId="77777777" w:rsidR="00462748" w:rsidRPr="00E657B1" w:rsidRDefault="00462748" w:rsidP="00032BAE">
            <w:pPr>
              <w:pStyle w:val="CDIFigure-Table-BodyTextLeft"/>
            </w:pPr>
            <w:r w:rsidRPr="00E657B1">
              <w:t xml:space="preserve">Worked on or visited a farm other than a workplace </w:t>
            </w:r>
            <w:proofErr w:type="spellStart"/>
            <w:r w:rsidRPr="00E657B1">
              <w:t>piggery</w:t>
            </w:r>
            <w:r w:rsidRPr="00C219C3">
              <w:rPr>
                <w:vertAlign w:val="superscript"/>
              </w:rPr>
              <w:t>c</w:t>
            </w:r>
            <w:proofErr w:type="spellEnd"/>
          </w:p>
        </w:tc>
        <w:tc>
          <w:tcPr>
            <w:tcW w:w="1053" w:type="dxa"/>
            <w:shd w:val="clear" w:color="auto" w:fill="F2F2F2" w:themeFill="background1" w:themeFillShade="F2"/>
            <w:tcMar>
              <w:top w:w="113" w:type="dxa"/>
              <w:left w:w="113" w:type="dxa"/>
              <w:bottom w:w="113" w:type="dxa"/>
              <w:right w:w="113" w:type="dxa"/>
            </w:tcMar>
            <w:vAlign w:val="center"/>
          </w:tcPr>
          <w:p w14:paraId="1DB1B1EE" w14:textId="77777777" w:rsidR="00462748" w:rsidRPr="00E657B1" w:rsidRDefault="00462748" w:rsidP="00032BAE">
            <w:pPr>
              <w:pStyle w:val="CDIFigure-Table-BodyTextCentre"/>
            </w:pPr>
            <w:r w:rsidRPr="00E657B1">
              <w:t>7</w:t>
            </w:r>
          </w:p>
        </w:tc>
        <w:tc>
          <w:tcPr>
            <w:tcW w:w="1053" w:type="dxa"/>
            <w:shd w:val="clear" w:color="auto" w:fill="F2F2F2" w:themeFill="background1" w:themeFillShade="F2"/>
            <w:tcMar>
              <w:top w:w="113" w:type="dxa"/>
              <w:left w:w="113" w:type="dxa"/>
              <w:bottom w:w="113" w:type="dxa"/>
              <w:right w:w="113" w:type="dxa"/>
            </w:tcMar>
            <w:vAlign w:val="center"/>
          </w:tcPr>
          <w:p w14:paraId="4503B175" w14:textId="77777777" w:rsidR="00462748" w:rsidRPr="00E657B1" w:rsidRDefault="00462748" w:rsidP="00032BAE">
            <w:pPr>
              <w:pStyle w:val="CDIFigure-Table-BodyTextCentre"/>
            </w:pPr>
            <w:r w:rsidRPr="00E657B1">
              <w:t>70.0</w:t>
            </w:r>
          </w:p>
        </w:tc>
        <w:tc>
          <w:tcPr>
            <w:tcW w:w="1053" w:type="dxa"/>
            <w:shd w:val="clear" w:color="auto" w:fill="F2F2F2" w:themeFill="background1" w:themeFillShade="F2"/>
            <w:tcMar>
              <w:top w:w="113" w:type="dxa"/>
              <w:left w:w="113" w:type="dxa"/>
              <w:bottom w:w="113" w:type="dxa"/>
              <w:right w:w="113" w:type="dxa"/>
            </w:tcMar>
            <w:vAlign w:val="center"/>
          </w:tcPr>
          <w:p w14:paraId="39BB9F9C" w14:textId="77777777" w:rsidR="00462748" w:rsidRPr="00E657B1" w:rsidRDefault="00462748" w:rsidP="00032BAE">
            <w:pPr>
              <w:pStyle w:val="CDIFigure-Table-BodyTextCentre"/>
            </w:pPr>
            <w:r w:rsidRPr="00E657B1">
              <w:t>46</w:t>
            </w:r>
          </w:p>
        </w:tc>
        <w:tc>
          <w:tcPr>
            <w:tcW w:w="1053" w:type="dxa"/>
            <w:shd w:val="clear" w:color="auto" w:fill="F2F2F2" w:themeFill="background1" w:themeFillShade="F2"/>
            <w:tcMar>
              <w:top w:w="113" w:type="dxa"/>
              <w:left w:w="113" w:type="dxa"/>
              <w:bottom w:w="113" w:type="dxa"/>
              <w:right w:w="113" w:type="dxa"/>
            </w:tcMar>
            <w:vAlign w:val="center"/>
          </w:tcPr>
          <w:p w14:paraId="6DE6EFCC" w14:textId="77777777" w:rsidR="00462748" w:rsidRPr="00E657B1" w:rsidRDefault="00462748" w:rsidP="00032BAE">
            <w:pPr>
              <w:pStyle w:val="CDIFigure-Table-BodyTextCentre"/>
            </w:pPr>
            <w:r w:rsidRPr="00E657B1">
              <w:t>38.7</w:t>
            </w:r>
          </w:p>
        </w:tc>
        <w:tc>
          <w:tcPr>
            <w:tcW w:w="1374" w:type="dxa"/>
            <w:shd w:val="clear" w:color="auto" w:fill="F2F2F2" w:themeFill="background1" w:themeFillShade="F2"/>
            <w:tcMar>
              <w:top w:w="113" w:type="dxa"/>
              <w:left w:w="113" w:type="dxa"/>
              <w:bottom w:w="113" w:type="dxa"/>
              <w:right w:w="113" w:type="dxa"/>
            </w:tcMar>
            <w:vAlign w:val="center"/>
          </w:tcPr>
          <w:p w14:paraId="4F8A53ED" w14:textId="77777777" w:rsidR="00462748" w:rsidRPr="00E657B1" w:rsidRDefault="00462748" w:rsidP="00032BAE">
            <w:pPr>
              <w:pStyle w:val="CDIFigure-Table-BodyTextCentre"/>
            </w:pPr>
            <w:r w:rsidRPr="00E657B1">
              <w:t>3.7</w:t>
            </w:r>
          </w:p>
        </w:tc>
        <w:tc>
          <w:tcPr>
            <w:tcW w:w="1374" w:type="dxa"/>
            <w:shd w:val="clear" w:color="auto" w:fill="F2F2F2" w:themeFill="background1" w:themeFillShade="F2"/>
            <w:tcMar>
              <w:top w:w="113" w:type="dxa"/>
              <w:left w:w="113" w:type="dxa"/>
              <w:bottom w:w="113" w:type="dxa"/>
              <w:right w:w="113" w:type="dxa"/>
            </w:tcMar>
            <w:vAlign w:val="center"/>
          </w:tcPr>
          <w:p w14:paraId="08C29DD1" w14:textId="77777777" w:rsidR="00462748" w:rsidRPr="00E657B1" w:rsidRDefault="00462748" w:rsidP="00032BAE">
            <w:pPr>
              <w:pStyle w:val="CDIFigure-Table-BodyTextCentre"/>
            </w:pPr>
            <w:r w:rsidRPr="00E657B1">
              <w:t>0.92–22.08</w:t>
            </w:r>
          </w:p>
        </w:tc>
        <w:tc>
          <w:tcPr>
            <w:tcW w:w="1375" w:type="dxa"/>
            <w:shd w:val="clear" w:color="auto" w:fill="F2F2F2" w:themeFill="background1" w:themeFillShade="F2"/>
            <w:tcMar>
              <w:top w:w="113" w:type="dxa"/>
              <w:left w:w="113" w:type="dxa"/>
              <w:bottom w:w="113" w:type="dxa"/>
              <w:right w:w="113" w:type="dxa"/>
            </w:tcMar>
            <w:vAlign w:val="center"/>
          </w:tcPr>
          <w:p w14:paraId="2D2D11ED" w14:textId="77777777" w:rsidR="00462748" w:rsidRPr="00E657B1" w:rsidRDefault="00462748" w:rsidP="00032BAE">
            <w:pPr>
              <w:pStyle w:val="CDIFigure-Table-BodyTextCentre"/>
            </w:pPr>
            <w:r w:rsidRPr="00E657B1">
              <w:t>0.09</w:t>
            </w:r>
          </w:p>
        </w:tc>
      </w:tr>
      <w:tr w:rsidR="00462748" w:rsidRPr="00E657B1" w14:paraId="20951ED3" w14:textId="77777777" w:rsidTr="00462748">
        <w:trPr>
          <w:divId w:val="935526654"/>
          <w:trHeight w:val="20"/>
        </w:trPr>
        <w:tc>
          <w:tcPr>
            <w:tcW w:w="1701" w:type="dxa"/>
            <w:vMerge/>
            <w:tcBorders>
              <w:bottom w:val="single" w:sz="4" w:space="0" w:color="033636" w:themeColor="text2"/>
            </w:tcBorders>
            <w:shd w:val="clear" w:color="auto" w:fill="C5FFEF" w:themeFill="background2" w:themeFillTint="33"/>
          </w:tcPr>
          <w:p w14:paraId="129D579C" w14:textId="77777777" w:rsidR="00462748" w:rsidRPr="00E657B1" w:rsidRDefault="00462748" w:rsidP="00032BAE"/>
        </w:tc>
        <w:tc>
          <w:tcPr>
            <w:tcW w:w="4139" w:type="dxa"/>
            <w:tcMar>
              <w:top w:w="113" w:type="dxa"/>
              <w:left w:w="113" w:type="dxa"/>
              <w:bottom w:w="113" w:type="dxa"/>
              <w:right w:w="113" w:type="dxa"/>
            </w:tcMar>
            <w:vAlign w:val="center"/>
          </w:tcPr>
          <w:p w14:paraId="3936B525" w14:textId="77777777" w:rsidR="00462748" w:rsidRPr="00E657B1" w:rsidRDefault="00462748" w:rsidP="00032BAE">
            <w:pPr>
              <w:pStyle w:val="CDIFigure-Table-BodyTextLeft"/>
            </w:pPr>
            <w:r w:rsidRPr="00E657B1">
              <w:t>Directly worked – pigs (residential and recreational)</w:t>
            </w:r>
          </w:p>
        </w:tc>
        <w:tc>
          <w:tcPr>
            <w:tcW w:w="1053" w:type="dxa"/>
            <w:tcMar>
              <w:top w:w="113" w:type="dxa"/>
              <w:left w:w="113" w:type="dxa"/>
              <w:bottom w:w="113" w:type="dxa"/>
              <w:right w:w="113" w:type="dxa"/>
            </w:tcMar>
            <w:vAlign w:val="center"/>
          </w:tcPr>
          <w:p w14:paraId="02D00C22" w14:textId="77777777" w:rsidR="00462748" w:rsidRPr="00E657B1" w:rsidRDefault="00462748" w:rsidP="00032BAE">
            <w:pPr>
              <w:pStyle w:val="CDIFigure-Table-BodyTextCentre"/>
            </w:pPr>
            <w:r w:rsidRPr="00E657B1">
              <w:t>7</w:t>
            </w:r>
          </w:p>
        </w:tc>
        <w:tc>
          <w:tcPr>
            <w:tcW w:w="1053" w:type="dxa"/>
            <w:tcMar>
              <w:top w:w="113" w:type="dxa"/>
              <w:left w:w="113" w:type="dxa"/>
              <w:bottom w:w="113" w:type="dxa"/>
              <w:right w:w="113" w:type="dxa"/>
            </w:tcMar>
            <w:vAlign w:val="center"/>
          </w:tcPr>
          <w:p w14:paraId="026E36F8" w14:textId="77777777" w:rsidR="00462748" w:rsidRPr="00E657B1" w:rsidRDefault="00462748" w:rsidP="00032BAE">
            <w:pPr>
              <w:pStyle w:val="CDIFigure-Table-BodyTextCentre"/>
            </w:pPr>
            <w:r w:rsidRPr="00E657B1">
              <w:t>70.0</w:t>
            </w:r>
          </w:p>
        </w:tc>
        <w:tc>
          <w:tcPr>
            <w:tcW w:w="1053" w:type="dxa"/>
            <w:tcMar>
              <w:top w:w="113" w:type="dxa"/>
              <w:left w:w="113" w:type="dxa"/>
              <w:bottom w:w="113" w:type="dxa"/>
              <w:right w:w="113" w:type="dxa"/>
            </w:tcMar>
            <w:vAlign w:val="center"/>
          </w:tcPr>
          <w:p w14:paraId="593F6791" w14:textId="77777777" w:rsidR="00462748" w:rsidRPr="00E657B1" w:rsidRDefault="00462748" w:rsidP="00032BAE">
            <w:pPr>
              <w:pStyle w:val="CDIFigure-Table-BodyTextCentre"/>
            </w:pPr>
            <w:r w:rsidRPr="00E657B1">
              <w:t>78</w:t>
            </w:r>
          </w:p>
        </w:tc>
        <w:tc>
          <w:tcPr>
            <w:tcW w:w="1053" w:type="dxa"/>
            <w:tcMar>
              <w:top w:w="113" w:type="dxa"/>
              <w:left w:w="113" w:type="dxa"/>
              <w:bottom w:w="113" w:type="dxa"/>
              <w:right w:w="113" w:type="dxa"/>
            </w:tcMar>
            <w:vAlign w:val="center"/>
          </w:tcPr>
          <w:p w14:paraId="7074FB3D" w14:textId="77777777" w:rsidR="00462748" w:rsidRPr="00E657B1" w:rsidRDefault="00462748" w:rsidP="00032BAE">
            <w:pPr>
              <w:pStyle w:val="CDIFigure-Table-BodyTextCentre"/>
            </w:pPr>
            <w:r w:rsidRPr="00E657B1">
              <w:t>65.5</w:t>
            </w:r>
          </w:p>
        </w:tc>
        <w:tc>
          <w:tcPr>
            <w:tcW w:w="1374" w:type="dxa"/>
            <w:tcMar>
              <w:top w:w="113" w:type="dxa"/>
              <w:left w:w="113" w:type="dxa"/>
              <w:bottom w:w="113" w:type="dxa"/>
              <w:right w:w="113" w:type="dxa"/>
            </w:tcMar>
            <w:vAlign w:val="center"/>
          </w:tcPr>
          <w:p w14:paraId="52D735FD" w14:textId="77777777" w:rsidR="00462748" w:rsidRPr="00E657B1" w:rsidRDefault="00462748" w:rsidP="00032BAE">
            <w:pPr>
              <w:pStyle w:val="CDIFigure-Table-BodyTextCentre"/>
            </w:pPr>
            <w:r w:rsidRPr="00E657B1">
              <w:t>1.19</w:t>
            </w:r>
          </w:p>
        </w:tc>
        <w:tc>
          <w:tcPr>
            <w:tcW w:w="1374" w:type="dxa"/>
            <w:tcMar>
              <w:top w:w="113" w:type="dxa"/>
              <w:left w:w="113" w:type="dxa"/>
              <w:bottom w:w="113" w:type="dxa"/>
              <w:right w:w="113" w:type="dxa"/>
            </w:tcMar>
            <w:vAlign w:val="center"/>
          </w:tcPr>
          <w:p w14:paraId="253F1B3B" w14:textId="77777777" w:rsidR="00462748" w:rsidRPr="00E657B1" w:rsidRDefault="00462748" w:rsidP="00032BAE">
            <w:pPr>
              <w:pStyle w:val="CDIFigure-Table-BodyTextCentre"/>
            </w:pPr>
            <w:r w:rsidRPr="00E657B1">
              <w:t>0.30–6.10</w:t>
            </w:r>
          </w:p>
        </w:tc>
        <w:tc>
          <w:tcPr>
            <w:tcW w:w="1375" w:type="dxa"/>
            <w:tcMar>
              <w:top w:w="113" w:type="dxa"/>
              <w:left w:w="113" w:type="dxa"/>
              <w:bottom w:w="113" w:type="dxa"/>
              <w:right w:w="113" w:type="dxa"/>
            </w:tcMar>
            <w:vAlign w:val="center"/>
          </w:tcPr>
          <w:p w14:paraId="010464A1" w14:textId="77777777" w:rsidR="00462748" w:rsidRPr="00E657B1" w:rsidRDefault="00462748" w:rsidP="00032BAE">
            <w:pPr>
              <w:pStyle w:val="CDIFigure-Table-BodyTextCentre"/>
            </w:pPr>
            <w:r w:rsidRPr="00E657B1">
              <w:t>1</w:t>
            </w:r>
          </w:p>
        </w:tc>
      </w:tr>
      <w:tr w:rsidR="00462748" w:rsidRPr="00E657B1" w14:paraId="6283519C" w14:textId="77777777" w:rsidTr="00462748">
        <w:trPr>
          <w:divId w:val="935526654"/>
          <w:trHeight w:val="20"/>
        </w:trPr>
        <w:tc>
          <w:tcPr>
            <w:tcW w:w="1701" w:type="dxa"/>
            <w:vMerge/>
            <w:tcBorders>
              <w:bottom w:val="single" w:sz="4" w:space="0" w:color="033636" w:themeColor="text2"/>
            </w:tcBorders>
            <w:shd w:val="clear" w:color="auto" w:fill="C5FFEF" w:themeFill="background2" w:themeFillTint="33"/>
          </w:tcPr>
          <w:p w14:paraId="13CC502F" w14:textId="77777777" w:rsidR="00462748" w:rsidRPr="00E657B1" w:rsidRDefault="00462748" w:rsidP="00032BAE"/>
        </w:tc>
        <w:tc>
          <w:tcPr>
            <w:tcW w:w="4139" w:type="dxa"/>
            <w:shd w:val="clear" w:color="auto" w:fill="F2F2F2" w:themeFill="background1" w:themeFillShade="F2"/>
            <w:tcMar>
              <w:top w:w="113" w:type="dxa"/>
              <w:left w:w="113" w:type="dxa"/>
              <w:bottom w:w="113" w:type="dxa"/>
              <w:right w:w="113" w:type="dxa"/>
            </w:tcMar>
            <w:vAlign w:val="center"/>
          </w:tcPr>
          <w:p w14:paraId="202CDDA6" w14:textId="77777777" w:rsidR="00462748" w:rsidRPr="00E657B1" w:rsidRDefault="00462748" w:rsidP="00032BAE">
            <w:pPr>
              <w:pStyle w:val="CDIFigure-Table-BodyTextLeft"/>
            </w:pPr>
            <w:r w:rsidRPr="00E657B1">
              <w:t xml:space="preserve">Male </w:t>
            </w:r>
          </w:p>
        </w:tc>
        <w:tc>
          <w:tcPr>
            <w:tcW w:w="1053" w:type="dxa"/>
            <w:shd w:val="clear" w:color="auto" w:fill="F2F2F2" w:themeFill="background1" w:themeFillShade="F2"/>
            <w:tcMar>
              <w:top w:w="113" w:type="dxa"/>
              <w:left w:w="113" w:type="dxa"/>
              <w:bottom w:w="113" w:type="dxa"/>
              <w:right w:w="113" w:type="dxa"/>
            </w:tcMar>
            <w:vAlign w:val="center"/>
          </w:tcPr>
          <w:p w14:paraId="743FFED5" w14:textId="77777777" w:rsidR="00462748" w:rsidRPr="00E657B1" w:rsidRDefault="00462748" w:rsidP="00032BAE">
            <w:pPr>
              <w:pStyle w:val="CDIFigure-Table-BodyTextCentre"/>
            </w:pPr>
            <w:r w:rsidRPr="00E657B1">
              <w:t>9</w:t>
            </w:r>
          </w:p>
        </w:tc>
        <w:tc>
          <w:tcPr>
            <w:tcW w:w="1053" w:type="dxa"/>
            <w:shd w:val="clear" w:color="auto" w:fill="F2F2F2" w:themeFill="background1" w:themeFillShade="F2"/>
            <w:tcMar>
              <w:top w:w="113" w:type="dxa"/>
              <w:left w:w="113" w:type="dxa"/>
              <w:bottom w:w="113" w:type="dxa"/>
              <w:right w:w="113" w:type="dxa"/>
            </w:tcMar>
            <w:vAlign w:val="center"/>
          </w:tcPr>
          <w:p w14:paraId="56202B8C" w14:textId="77777777" w:rsidR="00462748" w:rsidRPr="00E657B1" w:rsidRDefault="00462748" w:rsidP="00032BAE">
            <w:pPr>
              <w:pStyle w:val="CDIFigure-Table-BodyTextCentre"/>
            </w:pPr>
            <w:r w:rsidRPr="00E657B1">
              <w:t>90.0</w:t>
            </w:r>
          </w:p>
        </w:tc>
        <w:tc>
          <w:tcPr>
            <w:tcW w:w="1053" w:type="dxa"/>
            <w:shd w:val="clear" w:color="auto" w:fill="F2F2F2" w:themeFill="background1" w:themeFillShade="F2"/>
            <w:tcMar>
              <w:top w:w="113" w:type="dxa"/>
              <w:left w:w="113" w:type="dxa"/>
              <w:bottom w:w="113" w:type="dxa"/>
              <w:right w:w="113" w:type="dxa"/>
            </w:tcMar>
            <w:vAlign w:val="center"/>
          </w:tcPr>
          <w:p w14:paraId="2B338D53" w14:textId="77777777" w:rsidR="00462748" w:rsidRPr="00E657B1" w:rsidRDefault="00462748" w:rsidP="00032BAE">
            <w:pPr>
              <w:pStyle w:val="CDIFigure-Table-BodyTextCentre"/>
            </w:pPr>
            <w:r w:rsidRPr="00E657B1">
              <w:t>71</w:t>
            </w:r>
          </w:p>
        </w:tc>
        <w:tc>
          <w:tcPr>
            <w:tcW w:w="1053" w:type="dxa"/>
            <w:shd w:val="clear" w:color="auto" w:fill="F2F2F2" w:themeFill="background1" w:themeFillShade="F2"/>
            <w:tcMar>
              <w:top w:w="113" w:type="dxa"/>
              <w:left w:w="113" w:type="dxa"/>
              <w:bottom w:w="113" w:type="dxa"/>
              <w:right w:w="113" w:type="dxa"/>
            </w:tcMar>
            <w:vAlign w:val="center"/>
          </w:tcPr>
          <w:p w14:paraId="73C17F78" w14:textId="77777777" w:rsidR="00462748" w:rsidRPr="00E657B1" w:rsidRDefault="00462748" w:rsidP="00032BAE">
            <w:pPr>
              <w:pStyle w:val="CDIFigure-Table-BodyTextCentre"/>
            </w:pPr>
            <w:r w:rsidRPr="00E657B1">
              <w:t>59.7</w:t>
            </w:r>
          </w:p>
        </w:tc>
        <w:tc>
          <w:tcPr>
            <w:tcW w:w="1374" w:type="dxa"/>
            <w:shd w:val="clear" w:color="auto" w:fill="F2F2F2" w:themeFill="background1" w:themeFillShade="F2"/>
            <w:tcMar>
              <w:top w:w="113" w:type="dxa"/>
              <w:left w:w="113" w:type="dxa"/>
              <w:bottom w:w="113" w:type="dxa"/>
              <w:right w:w="113" w:type="dxa"/>
            </w:tcMar>
            <w:vAlign w:val="center"/>
          </w:tcPr>
          <w:p w14:paraId="61440206" w14:textId="77777777" w:rsidR="00462748" w:rsidRPr="00E657B1" w:rsidRDefault="00462748" w:rsidP="00032BAE">
            <w:pPr>
              <w:pStyle w:val="CDIFigure-Table-BodyTextCentre"/>
            </w:pPr>
            <w:r w:rsidRPr="00E657B1">
              <w:t>5.4</w:t>
            </w:r>
          </w:p>
        </w:tc>
        <w:tc>
          <w:tcPr>
            <w:tcW w:w="1374" w:type="dxa"/>
            <w:shd w:val="clear" w:color="auto" w:fill="F2F2F2" w:themeFill="background1" w:themeFillShade="F2"/>
            <w:tcMar>
              <w:top w:w="113" w:type="dxa"/>
              <w:left w:w="113" w:type="dxa"/>
              <w:bottom w:w="113" w:type="dxa"/>
              <w:right w:w="113" w:type="dxa"/>
            </w:tcMar>
            <w:vAlign w:val="center"/>
          </w:tcPr>
          <w:p w14:paraId="090E7B85" w14:textId="77777777" w:rsidR="00462748" w:rsidRPr="00E657B1" w:rsidRDefault="00462748" w:rsidP="00032BAE">
            <w:pPr>
              <w:pStyle w:val="CDIFigure-Table-BodyTextCentre"/>
            </w:pPr>
            <w:r w:rsidRPr="00E657B1">
              <w:t>0.94–137.1</w:t>
            </w:r>
          </w:p>
        </w:tc>
        <w:tc>
          <w:tcPr>
            <w:tcW w:w="1375" w:type="dxa"/>
            <w:shd w:val="clear" w:color="auto" w:fill="F2F2F2" w:themeFill="background1" w:themeFillShade="F2"/>
            <w:tcMar>
              <w:top w:w="113" w:type="dxa"/>
              <w:left w:w="113" w:type="dxa"/>
              <w:bottom w:w="113" w:type="dxa"/>
              <w:right w:w="113" w:type="dxa"/>
            </w:tcMar>
            <w:vAlign w:val="center"/>
          </w:tcPr>
          <w:p w14:paraId="0BA560E8" w14:textId="77777777" w:rsidR="00462748" w:rsidRPr="00E657B1" w:rsidRDefault="00462748" w:rsidP="00032BAE">
            <w:pPr>
              <w:pStyle w:val="CDIFigure-Table-BodyTextCentre"/>
            </w:pPr>
            <w:r w:rsidRPr="00E657B1">
              <w:t>0.09</w:t>
            </w:r>
          </w:p>
        </w:tc>
      </w:tr>
      <w:tr w:rsidR="00462748" w:rsidRPr="00E657B1" w14:paraId="2B8CECE8" w14:textId="77777777" w:rsidTr="00462748">
        <w:trPr>
          <w:divId w:val="935526654"/>
          <w:trHeight w:val="20"/>
        </w:trPr>
        <w:tc>
          <w:tcPr>
            <w:tcW w:w="1701" w:type="dxa"/>
            <w:vMerge/>
            <w:tcBorders>
              <w:bottom w:val="single" w:sz="4" w:space="0" w:color="033636" w:themeColor="text2"/>
            </w:tcBorders>
            <w:shd w:val="clear" w:color="auto" w:fill="C5FFEF" w:themeFill="background2" w:themeFillTint="33"/>
          </w:tcPr>
          <w:p w14:paraId="62DEC9C0" w14:textId="77777777" w:rsidR="00462748" w:rsidRPr="00E657B1" w:rsidRDefault="00462748" w:rsidP="00032BAE"/>
        </w:tc>
        <w:tc>
          <w:tcPr>
            <w:tcW w:w="4139" w:type="dxa"/>
            <w:tcMar>
              <w:top w:w="113" w:type="dxa"/>
              <w:left w:w="113" w:type="dxa"/>
              <w:bottom w:w="113" w:type="dxa"/>
              <w:right w:w="113" w:type="dxa"/>
            </w:tcMar>
            <w:vAlign w:val="center"/>
          </w:tcPr>
          <w:p w14:paraId="17EEC32A" w14:textId="77777777" w:rsidR="00462748" w:rsidRPr="00E657B1" w:rsidRDefault="00462748" w:rsidP="00032BAE">
            <w:pPr>
              <w:pStyle w:val="CDIFigure-Table-BodyTextLeft"/>
            </w:pPr>
            <w:r w:rsidRPr="00E657B1">
              <w:t xml:space="preserve">Worked outside at either dawn or dusk </w:t>
            </w:r>
          </w:p>
        </w:tc>
        <w:tc>
          <w:tcPr>
            <w:tcW w:w="1053" w:type="dxa"/>
            <w:tcMar>
              <w:top w:w="113" w:type="dxa"/>
              <w:left w:w="113" w:type="dxa"/>
              <w:bottom w:w="113" w:type="dxa"/>
              <w:right w:w="113" w:type="dxa"/>
            </w:tcMar>
            <w:vAlign w:val="center"/>
          </w:tcPr>
          <w:p w14:paraId="3DC1D1C3" w14:textId="77777777" w:rsidR="00462748" w:rsidRPr="00E657B1" w:rsidRDefault="00462748" w:rsidP="00032BAE">
            <w:pPr>
              <w:pStyle w:val="CDIFigure-Table-BodyTextCentre"/>
            </w:pPr>
            <w:r w:rsidRPr="00E657B1">
              <w:t>7</w:t>
            </w:r>
          </w:p>
        </w:tc>
        <w:tc>
          <w:tcPr>
            <w:tcW w:w="1053" w:type="dxa"/>
            <w:tcMar>
              <w:top w:w="113" w:type="dxa"/>
              <w:left w:w="113" w:type="dxa"/>
              <w:bottom w:w="113" w:type="dxa"/>
              <w:right w:w="113" w:type="dxa"/>
            </w:tcMar>
            <w:vAlign w:val="center"/>
          </w:tcPr>
          <w:p w14:paraId="4F9905D3" w14:textId="77777777" w:rsidR="00462748" w:rsidRPr="00E657B1" w:rsidRDefault="00462748" w:rsidP="00032BAE">
            <w:pPr>
              <w:pStyle w:val="CDIFigure-Table-BodyTextCentre"/>
            </w:pPr>
            <w:r w:rsidRPr="00E657B1">
              <w:t>70.0</w:t>
            </w:r>
          </w:p>
        </w:tc>
        <w:tc>
          <w:tcPr>
            <w:tcW w:w="1053" w:type="dxa"/>
            <w:tcMar>
              <w:top w:w="113" w:type="dxa"/>
              <w:left w:w="113" w:type="dxa"/>
              <w:bottom w:w="113" w:type="dxa"/>
              <w:right w:w="113" w:type="dxa"/>
            </w:tcMar>
            <w:vAlign w:val="center"/>
          </w:tcPr>
          <w:p w14:paraId="3C813D47" w14:textId="77777777" w:rsidR="00462748" w:rsidRPr="00E657B1" w:rsidRDefault="00462748" w:rsidP="00032BAE">
            <w:pPr>
              <w:pStyle w:val="CDIFigure-Table-BodyTextCentre"/>
            </w:pPr>
            <w:r w:rsidRPr="00E657B1">
              <w:t>67</w:t>
            </w:r>
          </w:p>
        </w:tc>
        <w:tc>
          <w:tcPr>
            <w:tcW w:w="1053" w:type="dxa"/>
            <w:tcMar>
              <w:top w:w="113" w:type="dxa"/>
              <w:left w:w="113" w:type="dxa"/>
              <w:bottom w:w="113" w:type="dxa"/>
              <w:right w:w="113" w:type="dxa"/>
            </w:tcMar>
            <w:vAlign w:val="center"/>
          </w:tcPr>
          <w:p w14:paraId="4518AD87" w14:textId="77777777" w:rsidR="00462748" w:rsidRPr="00E657B1" w:rsidRDefault="00462748" w:rsidP="00032BAE">
            <w:pPr>
              <w:pStyle w:val="CDIFigure-Table-BodyTextCentre"/>
            </w:pPr>
            <w:r w:rsidRPr="00E657B1">
              <w:t>56.3</w:t>
            </w:r>
          </w:p>
        </w:tc>
        <w:tc>
          <w:tcPr>
            <w:tcW w:w="1374" w:type="dxa"/>
            <w:tcMar>
              <w:top w:w="113" w:type="dxa"/>
              <w:left w:w="113" w:type="dxa"/>
              <w:bottom w:w="113" w:type="dxa"/>
              <w:right w:w="113" w:type="dxa"/>
            </w:tcMar>
            <w:vAlign w:val="center"/>
          </w:tcPr>
          <w:p w14:paraId="5EC5DAA0" w14:textId="77777777" w:rsidR="00462748" w:rsidRPr="00E657B1" w:rsidRDefault="00462748" w:rsidP="00032BAE">
            <w:pPr>
              <w:pStyle w:val="CDIFigure-Table-BodyTextCentre"/>
            </w:pPr>
            <w:r w:rsidRPr="00E657B1">
              <w:t>1.81</w:t>
            </w:r>
          </w:p>
        </w:tc>
        <w:tc>
          <w:tcPr>
            <w:tcW w:w="1374" w:type="dxa"/>
            <w:tcMar>
              <w:top w:w="113" w:type="dxa"/>
              <w:left w:w="113" w:type="dxa"/>
              <w:bottom w:w="113" w:type="dxa"/>
              <w:right w:w="113" w:type="dxa"/>
            </w:tcMar>
            <w:vAlign w:val="center"/>
          </w:tcPr>
          <w:p w14:paraId="67610A02" w14:textId="77777777" w:rsidR="00462748" w:rsidRPr="00E657B1" w:rsidRDefault="00462748" w:rsidP="00032BAE">
            <w:pPr>
              <w:pStyle w:val="CDIFigure-Table-BodyTextCentre"/>
            </w:pPr>
            <w:r w:rsidRPr="00E657B1">
              <w:t>0.45–7.35</w:t>
            </w:r>
          </w:p>
        </w:tc>
        <w:tc>
          <w:tcPr>
            <w:tcW w:w="1375" w:type="dxa"/>
            <w:tcMar>
              <w:top w:w="113" w:type="dxa"/>
              <w:left w:w="113" w:type="dxa"/>
              <w:bottom w:w="113" w:type="dxa"/>
              <w:right w:w="113" w:type="dxa"/>
            </w:tcMar>
            <w:vAlign w:val="center"/>
          </w:tcPr>
          <w:p w14:paraId="10C9DF6C" w14:textId="77777777" w:rsidR="00462748" w:rsidRPr="00E657B1" w:rsidRDefault="00462748" w:rsidP="00032BAE">
            <w:pPr>
              <w:pStyle w:val="CDIFigure-Table-BodyTextCentre"/>
            </w:pPr>
            <w:r w:rsidRPr="00E657B1">
              <w:t>0.51</w:t>
            </w:r>
          </w:p>
        </w:tc>
      </w:tr>
      <w:tr w:rsidR="00462748" w:rsidRPr="00E657B1" w14:paraId="12992799" w14:textId="77777777" w:rsidTr="00462748">
        <w:trPr>
          <w:divId w:val="935526654"/>
          <w:trHeight w:val="20"/>
        </w:trPr>
        <w:tc>
          <w:tcPr>
            <w:tcW w:w="1701" w:type="dxa"/>
            <w:vMerge/>
            <w:tcBorders>
              <w:bottom w:val="single" w:sz="4" w:space="0" w:color="033636" w:themeColor="text2"/>
            </w:tcBorders>
            <w:shd w:val="clear" w:color="auto" w:fill="C5FFEF" w:themeFill="background2" w:themeFillTint="33"/>
          </w:tcPr>
          <w:p w14:paraId="58693C5F" w14:textId="77777777" w:rsidR="00462748" w:rsidRPr="00E657B1" w:rsidRDefault="00462748" w:rsidP="00032BAE"/>
        </w:tc>
        <w:tc>
          <w:tcPr>
            <w:tcW w:w="4139"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583DFC46" w14:textId="77777777" w:rsidR="00462748" w:rsidRPr="00E657B1" w:rsidRDefault="00462748" w:rsidP="00032BAE">
            <w:pPr>
              <w:pStyle w:val="CDIFigure-Table-BodyTextLeft"/>
            </w:pPr>
            <w:r w:rsidRPr="00E657B1">
              <w:t xml:space="preserve">Worked outside for more than 8 hours a week </w:t>
            </w:r>
          </w:p>
        </w:tc>
        <w:tc>
          <w:tcPr>
            <w:tcW w:w="1053"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5D03FB9E" w14:textId="77777777" w:rsidR="00462748" w:rsidRPr="00E657B1" w:rsidRDefault="00462748" w:rsidP="00032BAE">
            <w:pPr>
              <w:pStyle w:val="CDIFigure-Table-BodyTextCentre"/>
            </w:pPr>
            <w:r w:rsidRPr="00E657B1">
              <w:t>7</w:t>
            </w:r>
          </w:p>
        </w:tc>
        <w:tc>
          <w:tcPr>
            <w:tcW w:w="1053"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7CD8D5B4" w14:textId="77777777" w:rsidR="00462748" w:rsidRPr="00E657B1" w:rsidRDefault="00462748" w:rsidP="00032BAE">
            <w:pPr>
              <w:pStyle w:val="CDIFigure-Table-BodyTextCentre"/>
            </w:pPr>
            <w:r w:rsidRPr="00E657B1">
              <w:t>70.0</w:t>
            </w:r>
          </w:p>
        </w:tc>
        <w:tc>
          <w:tcPr>
            <w:tcW w:w="1053"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258B5D84" w14:textId="77777777" w:rsidR="00462748" w:rsidRPr="00E657B1" w:rsidRDefault="00462748" w:rsidP="00032BAE">
            <w:pPr>
              <w:pStyle w:val="CDIFigure-Table-BodyTextCentre"/>
            </w:pPr>
            <w:r w:rsidRPr="00E657B1">
              <w:t>76</w:t>
            </w:r>
          </w:p>
        </w:tc>
        <w:tc>
          <w:tcPr>
            <w:tcW w:w="1053"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6E8F65FF" w14:textId="77777777" w:rsidR="00462748" w:rsidRPr="00E657B1" w:rsidRDefault="00462748" w:rsidP="00032BAE">
            <w:pPr>
              <w:pStyle w:val="CDIFigure-Table-BodyTextCentre"/>
            </w:pPr>
            <w:r w:rsidRPr="00E657B1">
              <w:t>63.9</w:t>
            </w:r>
          </w:p>
        </w:tc>
        <w:tc>
          <w:tcPr>
            <w:tcW w:w="1374"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0E48C7B3" w14:textId="77777777" w:rsidR="00462748" w:rsidRPr="00E657B1" w:rsidRDefault="00462748" w:rsidP="00032BAE">
            <w:pPr>
              <w:pStyle w:val="CDIFigure-Table-BodyTextCentre"/>
            </w:pPr>
            <w:r w:rsidRPr="00E657B1">
              <w:t>1.28</w:t>
            </w:r>
          </w:p>
        </w:tc>
        <w:tc>
          <w:tcPr>
            <w:tcW w:w="1374"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1921CC69" w14:textId="77777777" w:rsidR="00462748" w:rsidRPr="00E657B1" w:rsidRDefault="00462748" w:rsidP="00032BAE">
            <w:pPr>
              <w:pStyle w:val="CDIFigure-Table-BodyTextCentre"/>
            </w:pPr>
            <w:r w:rsidRPr="00E657B1">
              <w:t>0.33–6.56</w:t>
            </w:r>
          </w:p>
        </w:tc>
        <w:tc>
          <w:tcPr>
            <w:tcW w:w="1375"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40AB9C54" w14:textId="77777777" w:rsidR="00462748" w:rsidRPr="00E657B1" w:rsidRDefault="00462748" w:rsidP="00032BAE">
            <w:pPr>
              <w:pStyle w:val="CDIFigure-Table-BodyTextCentre"/>
            </w:pPr>
            <w:r w:rsidRPr="00E657B1">
              <w:t>1</w:t>
            </w:r>
          </w:p>
        </w:tc>
      </w:tr>
      <w:tr w:rsidR="00462748" w:rsidRPr="00E657B1" w14:paraId="2E787415" w14:textId="77777777" w:rsidTr="00462748">
        <w:trPr>
          <w:divId w:val="935526654"/>
          <w:trHeight w:val="20"/>
        </w:trPr>
        <w:tc>
          <w:tcPr>
            <w:tcW w:w="1701" w:type="dxa"/>
            <w:vMerge w:val="restart"/>
            <w:tcBorders>
              <w:top w:val="single" w:sz="4" w:space="0" w:color="033636" w:themeColor="text2"/>
              <w:bottom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1890CD56" w14:textId="77777777" w:rsidR="00462748" w:rsidRPr="00E657B1" w:rsidRDefault="00462748" w:rsidP="00032BAE">
            <w:pPr>
              <w:pStyle w:val="CDIFigure-Table-BodyTextLeft"/>
            </w:pPr>
            <w:r w:rsidRPr="00E657B1">
              <w:t>At work only</w:t>
            </w:r>
          </w:p>
        </w:tc>
        <w:tc>
          <w:tcPr>
            <w:tcW w:w="4139" w:type="dxa"/>
            <w:tcBorders>
              <w:top w:val="single" w:sz="4" w:space="0" w:color="033636" w:themeColor="text2"/>
            </w:tcBorders>
            <w:tcMar>
              <w:top w:w="113" w:type="dxa"/>
              <w:left w:w="113" w:type="dxa"/>
              <w:bottom w:w="113" w:type="dxa"/>
              <w:right w:w="113" w:type="dxa"/>
            </w:tcMar>
            <w:vAlign w:val="center"/>
          </w:tcPr>
          <w:p w14:paraId="06220AED" w14:textId="77777777" w:rsidR="00462748" w:rsidRPr="00E657B1" w:rsidRDefault="00462748" w:rsidP="00032BAE">
            <w:pPr>
              <w:pStyle w:val="CDIFigure-Table-BodyTextLeft"/>
            </w:pPr>
            <w:r w:rsidRPr="00E657B1">
              <w:t xml:space="preserve">Exposure to stagnant water (e.g., standing water, irrigation channels etc) </w:t>
            </w:r>
          </w:p>
        </w:tc>
        <w:tc>
          <w:tcPr>
            <w:tcW w:w="1053" w:type="dxa"/>
            <w:tcBorders>
              <w:top w:val="single" w:sz="4" w:space="0" w:color="033636" w:themeColor="text2"/>
            </w:tcBorders>
            <w:tcMar>
              <w:top w:w="113" w:type="dxa"/>
              <w:left w:w="113" w:type="dxa"/>
              <w:bottom w:w="113" w:type="dxa"/>
              <w:right w:w="113" w:type="dxa"/>
            </w:tcMar>
            <w:vAlign w:val="center"/>
          </w:tcPr>
          <w:p w14:paraId="6309DFCA" w14:textId="77777777" w:rsidR="00462748" w:rsidRPr="00E657B1" w:rsidRDefault="00462748" w:rsidP="00032BAE">
            <w:pPr>
              <w:pStyle w:val="CDIFigure-Table-BodyTextCentre"/>
            </w:pPr>
            <w:r w:rsidRPr="00E657B1">
              <w:t>6</w:t>
            </w:r>
          </w:p>
        </w:tc>
        <w:tc>
          <w:tcPr>
            <w:tcW w:w="1053" w:type="dxa"/>
            <w:tcBorders>
              <w:top w:val="single" w:sz="4" w:space="0" w:color="033636" w:themeColor="text2"/>
            </w:tcBorders>
            <w:tcMar>
              <w:top w:w="113" w:type="dxa"/>
              <w:left w:w="113" w:type="dxa"/>
              <w:bottom w:w="113" w:type="dxa"/>
              <w:right w:w="113" w:type="dxa"/>
            </w:tcMar>
            <w:vAlign w:val="center"/>
          </w:tcPr>
          <w:p w14:paraId="0CDB4358" w14:textId="77777777" w:rsidR="00462748" w:rsidRPr="00E657B1" w:rsidRDefault="00462748" w:rsidP="00032BAE">
            <w:pPr>
              <w:pStyle w:val="CDIFigure-Table-BodyTextCentre"/>
            </w:pPr>
            <w:r w:rsidRPr="00E657B1">
              <w:t>60.0</w:t>
            </w:r>
          </w:p>
        </w:tc>
        <w:tc>
          <w:tcPr>
            <w:tcW w:w="1053" w:type="dxa"/>
            <w:tcBorders>
              <w:top w:val="single" w:sz="4" w:space="0" w:color="033636" w:themeColor="text2"/>
            </w:tcBorders>
            <w:tcMar>
              <w:top w:w="113" w:type="dxa"/>
              <w:left w:w="113" w:type="dxa"/>
              <w:bottom w:w="113" w:type="dxa"/>
              <w:right w:w="113" w:type="dxa"/>
            </w:tcMar>
            <w:vAlign w:val="center"/>
          </w:tcPr>
          <w:p w14:paraId="52B33D37" w14:textId="77777777" w:rsidR="00462748" w:rsidRPr="00E657B1" w:rsidRDefault="00462748" w:rsidP="00032BAE">
            <w:pPr>
              <w:pStyle w:val="CDIFigure-Table-BodyTextCentre"/>
            </w:pPr>
            <w:r w:rsidRPr="00E657B1">
              <w:t>76</w:t>
            </w:r>
          </w:p>
        </w:tc>
        <w:tc>
          <w:tcPr>
            <w:tcW w:w="1053" w:type="dxa"/>
            <w:tcBorders>
              <w:top w:val="single" w:sz="4" w:space="0" w:color="033636" w:themeColor="text2"/>
            </w:tcBorders>
            <w:tcMar>
              <w:top w:w="113" w:type="dxa"/>
              <w:left w:w="113" w:type="dxa"/>
              <w:bottom w:w="113" w:type="dxa"/>
              <w:right w:w="113" w:type="dxa"/>
            </w:tcMar>
            <w:vAlign w:val="center"/>
          </w:tcPr>
          <w:p w14:paraId="4140544D" w14:textId="77777777" w:rsidR="00462748" w:rsidRPr="00E657B1" w:rsidRDefault="00462748" w:rsidP="00032BAE">
            <w:pPr>
              <w:pStyle w:val="CDIFigure-Table-BodyTextCentre"/>
            </w:pPr>
            <w:r w:rsidRPr="00E657B1">
              <w:t>63.9</w:t>
            </w:r>
          </w:p>
        </w:tc>
        <w:tc>
          <w:tcPr>
            <w:tcW w:w="1374" w:type="dxa"/>
            <w:tcBorders>
              <w:top w:val="single" w:sz="4" w:space="0" w:color="033636" w:themeColor="text2"/>
            </w:tcBorders>
            <w:tcMar>
              <w:top w:w="113" w:type="dxa"/>
              <w:left w:w="113" w:type="dxa"/>
              <w:bottom w:w="113" w:type="dxa"/>
              <w:right w:w="113" w:type="dxa"/>
            </w:tcMar>
            <w:vAlign w:val="center"/>
          </w:tcPr>
          <w:p w14:paraId="5BEEE856" w14:textId="77777777" w:rsidR="00462748" w:rsidRPr="00E657B1" w:rsidRDefault="00462748" w:rsidP="00032BAE">
            <w:pPr>
              <w:pStyle w:val="CDIFigure-Table-BodyTextCentre"/>
            </w:pPr>
            <w:r w:rsidRPr="00E657B1">
              <w:t>0.84</w:t>
            </w:r>
          </w:p>
        </w:tc>
        <w:tc>
          <w:tcPr>
            <w:tcW w:w="1374" w:type="dxa"/>
            <w:tcBorders>
              <w:top w:val="single" w:sz="4" w:space="0" w:color="033636" w:themeColor="text2"/>
            </w:tcBorders>
            <w:tcMar>
              <w:top w:w="113" w:type="dxa"/>
              <w:left w:w="113" w:type="dxa"/>
              <w:bottom w:w="113" w:type="dxa"/>
              <w:right w:w="113" w:type="dxa"/>
            </w:tcMar>
            <w:vAlign w:val="center"/>
          </w:tcPr>
          <w:p w14:paraId="77540753" w14:textId="77777777" w:rsidR="00462748" w:rsidRPr="00E657B1" w:rsidRDefault="00462748" w:rsidP="00032BAE">
            <w:pPr>
              <w:pStyle w:val="CDIFigure-Table-BodyTextCentre"/>
            </w:pPr>
            <w:r w:rsidRPr="00E657B1">
              <w:t>0.22–3.59</w:t>
            </w:r>
          </w:p>
        </w:tc>
        <w:tc>
          <w:tcPr>
            <w:tcW w:w="1375" w:type="dxa"/>
            <w:tcBorders>
              <w:top w:val="single" w:sz="4" w:space="0" w:color="033636" w:themeColor="text2"/>
            </w:tcBorders>
            <w:tcMar>
              <w:top w:w="113" w:type="dxa"/>
              <w:left w:w="113" w:type="dxa"/>
              <w:bottom w:w="113" w:type="dxa"/>
              <w:right w:w="113" w:type="dxa"/>
            </w:tcMar>
            <w:vAlign w:val="center"/>
          </w:tcPr>
          <w:p w14:paraId="6DAA046B" w14:textId="77777777" w:rsidR="00462748" w:rsidRPr="00E657B1" w:rsidRDefault="00462748" w:rsidP="00032BAE">
            <w:pPr>
              <w:pStyle w:val="CDIFigure-Table-BodyTextCentre"/>
            </w:pPr>
            <w:r w:rsidRPr="00E657B1">
              <w:t>1</w:t>
            </w:r>
          </w:p>
        </w:tc>
      </w:tr>
      <w:tr w:rsidR="00462748" w:rsidRPr="00E657B1" w14:paraId="66D9B471" w14:textId="77777777" w:rsidTr="00462748">
        <w:trPr>
          <w:divId w:val="935526654"/>
          <w:trHeight w:val="20"/>
        </w:trPr>
        <w:tc>
          <w:tcPr>
            <w:tcW w:w="1701" w:type="dxa"/>
            <w:vMerge/>
            <w:tcBorders>
              <w:bottom w:val="single" w:sz="4" w:space="0" w:color="033636" w:themeColor="text2"/>
            </w:tcBorders>
            <w:shd w:val="clear" w:color="auto" w:fill="C5FFEF" w:themeFill="background2" w:themeFillTint="33"/>
          </w:tcPr>
          <w:p w14:paraId="5E0A232B" w14:textId="77777777" w:rsidR="00462748" w:rsidRPr="00E657B1" w:rsidRDefault="00462748" w:rsidP="00032BAE"/>
        </w:tc>
        <w:tc>
          <w:tcPr>
            <w:tcW w:w="4139" w:type="dxa"/>
            <w:shd w:val="clear" w:color="auto" w:fill="F2F2F2" w:themeFill="background1" w:themeFillShade="F2"/>
            <w:tcMar>
              <w:top w:w="113" w:type="dxa"/>
              <w:left w:w="113" w:type="dxa"/>
              <w:bottom w:w="113" w:type="dxa"/>
              <w:right w:w="113" w:type="dxa"/>
            </w:tcMar>
            <w:vAlign w:val="center"/>
          </w:tcPr>
          <w:p w14:paraId="45F404C8" w14:textId="77777777" w:rsidR="00462748" w:rsidRPr="00E657B1" w:rsidRDefault="00462748" w:rsidP="00032BAE">
            <w:pPr>
              <w:pStyle w:val="CDIFigure-Table-BodyTextLeft"/>
            </w:pPr>
            <w:r w:rsidRPr="00E657B1">
              <w:t xml:space="preserve">Exposure to bodies of water (e.g., rivers, lakes, creeks) </w:t>
            </w:r>
          </w:p>
        </w:tc>
        <w:tc>
          <w:tcPr>
            <w:tcW w:w="1053" w:type="dxa"/>
            <w:shd w:val="clear" w:color="auto" w:fill="F2F2F2" w:themeFill="background1" w:themeFillShade="F2"/>
            <w:tcMar>
              <w:top w:w="113" w:type="dxa"/>
              <w:left w:w="113" w:type="dxa"/>
              <w:bottom w:w="113" w:type="dxa"/>
              <w:right w:w="113" w:type="dxa"/>
            </w:tcMar>
            <w:vAlign w:val="center"/>
          </w:tcPr>
          <w:p w14:paraId="3D685688" w14:textId="77777777" w:rsidR="00462748" w:rsidRPr="00E657B1" w:rsidRDefault="00462748" w:rsidP="00032BAE">
            <w:pPr>
              <w:pStyle w:val="CDIFigure-Table-BodyTextCentre"/>
            </w:pPr>
            <w:r w:rsidRPr="00E657B1">
              <w:t>2</w:t>
            </w:r>
          </w:p>
        </w:tc>
        <w:tc>
          <w:tcPr>
            <w:tcW w:w="1053" w:type="dxa"/>
            <w:shd w:val="clear" w:color="auto" w:fill="F2F2F2" w:themeFill="background1" w:themeFillShade="F2"/>
            <w:tcMar>
              <w:top w:w="113" w:type="dxa"/>
              <w:left w:w="113" w:type="dxa"/>
              <w:bottom w:w="113" w:type="dxa"/>
              <w:right w:w="113" w:type="dxa"/>
            </w:tcMar>
            <w:vAlign w:val="center"/>
          </w:tcPr>
          <w:p w14:paraId="66CC6C21" w14:textId="77777777" w:rsidR="00462748" w:rsidRPr="00E657B1" w:rsidRDefault="00462748" w:rsidP="00032BAE">
            <w:pPr>
              <w:pStyle w:val="CDIFigure-Table-BodyTextCentre"/>
            </w:pPr>
            <w:r w:rsidRPr="00E657B1">
              <w:t>20.0</w:t>
            </w:r>
          </w:p>
        </w:tc>
        <w:tc>
          <w:tcPr>
            <w:tcW w:w="1053" w:type="dxa"/>
            <w:shd w:val="clear" w:color="auto" w:fill="F2F2F2" w:themeFill="background1" w:themeFillShade="F2"/>
            <w:tcMar>
              <w:top w:w="113" w:type="dxa"/>
              <w:left w:w="113" w:type="dxa"/>
              <w:bottom w:w="113" w:type="dxa"/>
              <w:right w:w="113" w:type="dxa"/>
            </w:tcMar>
            <w:vAlign w:val="center"/>
          </w:tcPr>
          <w:p w14:paraId="4B5D2E31" w14:textId="77777777" w:rsidR="00462748" w:rsidRPr="00E657B1" w:rsidRDefault="00462748" w:rsidP="00032BAE">
            <w:pPr>
              <w:pStyle w:val="CDIFigure-Table-BodyTextCentre"/>
            </w:pPr>
            <w:r w:rsidRPr="00E657B1">
              <w:t>34</w:t>
            </w:r>
          </w:p>
        </w:tc>
        <w:tc>
          <w:tcPr>
            <w:tcW w:w="1053" w:type="dxa"/>
            <w:shd w:val="clear" w:color="auto" w:fill="F2F2F2" w:themeFill="background1" w:themeFillShade="F2"/>
            <w:tcMar>
              <w:top w:w="113" w:type="dxa"/>
              <w:left w:w="113" w:type="dxa"/>
              <w:bottom w:w="113" w:type="dxa"/>
              <w:right w:w="113" w:type="dxa"/>
            </w:tcMar>
            <w:vAlign w:val="center"/>
          </w:tcPr>
          <w:p w14:paraId="50C1DF79" w14:textId="77777777" w:rsidR="00462748" w:rsidRPr="00E657B1" w:rsidRDefault="00462748" w:rsidP="00032BAE">
            <w:pPr>
              <w:pStyle w:val="CDIFigure-Table-BodyTextCentre"/>
            </w:pPr>
            <w:r w:rsidRPr="00E657B1">
              <w:t>28.6</w:t>
            </w:r>
          </w:p>
        </w:tc>
        <w:tc>
          <w:tcPr>
            <w:tcW w:w="1374" w:type="dxa"/>
            <w:shd w:val="clear" w:color="auto" w:fill="F2F2F2" w:themeFill="background1" w:themeFillShade="F2"/>
            <w:tcMar>
              <w:top w:w="113" w:type="dxa"/>
              <w:left w:w="113" w:type="dxa"/>
              <w:bottom w:w="113" w:type="dxa"/>
              <w:right w:w="113" w:type="dxa"/>
            </w:tcMar>
            <w:vAlign w:val="center"/>
          </w:tcPr>
          <w:p w14:paraId="38A6FE59" w14:textId="77777777" w:rsidR="00462748" w:rsidRPr="00E657B1" w:rsidRDefault="00462748" w:rsidP="00032BAE">
            <w:pPr>
              <w:pStyle w:val="CDIFigure-Table-BodyTextCentre"/>
            </w:pPr>
            <w:r w:rsidRPr="00E657B1">
              <w:t>0.66</w:t>
            </w:r>
          </w:p>
        </w:tc>
        <w:tc>
          <w:tcPr>
            <w:tcW w:w="1374" w:type="dxa"/>
            <w:shd w:val="clear" w:color="auto" w:fill="F2F2F2" w:themeFill="background1" w:themeFillShade="F2"/>
            <w:tcMar>
              <w:top w:w="113" w:type="dxa"/>
              <w:left w:w="113" w:type="dxa"/>
              <w:bottom w:w="113" w:type="dxa"/>
              <w:right w:w="113" w:type="dxa"/>
            </w:tcMar>
            <w:vAlign w:val="center"/>
          </w:tcPr>
          <w:p w14:paraId="79786A8E" w14:textId="77777777" w:rsidR="00462748" w:rsidRPr="00E657B1" w:rsidRDefault="00462748" w:rsidP="00032BAE">
            <w:pPr>
              <w:pStyle w:val="CDIFigure-Table-BodyTextCentre"/>
            </w:pPr>
            <w:r w:rsidRPr="00E657B1">
              <w:t>0.09–2.88</w:t>
            </w:r>
          </w:p>
        </w:tc>
        <w:tc>
          <w:tcPr>
            <w:tcW w:w="1375" w:type="dxa"/>
            <w:shd w:val="clear" w:color="auto" w:fill="F2F2F2" w:themeFill="background1" w:themeFillShade="F2"/>
            <w:tcMar>
              <w:top w:w="113" w:type="dxa"/>
              <w:left w:w="113" w:type="dxa"/>
              <w:bottom w:w="113" w:type="dxa"/>
              <w:right w:w="113" w:type="dxa"/>
            </w:tcMar>
            <w:vAlign w:val="center"/>
          </w:tcPr>
          <w:p w14:paraId="1B9CBBB4" w14:textId="77777777" w:rsidR="00462748" w:rsidRPr="00E657B1" w:rsidRDefault="00462748" w:rsidP="00032BAE">
            <w:pPr>
              <w:pStyle w:val="CDIFigure-Table-BodyTextCentre"/>
            </w:pPr>
            <w:r w:rsidRPr="00E657B1">
              <w:t>0.72</w:t>
            </w:r>
          </w:p>
        </w:tc>
      </w:tr>
      <w:tr w:rsidR="00462748" w:rsidRPr="00E657B1" w14:paraId="6170E037" w14:textId="77777777" w:rsidTr="00462748">
        <w:trPr>
          <w:divId w:val="935526654"/>
          <w:trHeight w:val="20"/>
        </w:trPr>
        <w:tc>
          <w:tcPr>
            <w:tcW w:w="1701" w:type="dxa"/>
            <w:vMerge/>
            <w:tcBorders>
              <w:bottom w:val="single" w:sz="4" w:space="0" w:color="033636" w:themeColor="text2"/>
            </w:tcBorders>
            <w:shd w:val="clear" w:color="auto" w:fill="C5FFEF" w:themeFill="background2" w:themeFillTint="33"/>
          </w:tcPr>
          <w:p w14:paraId="48EC3AE7" w14:textId="77777777" w:rsidR="00462748" w:rsidRPr="00E657B1" w:rsidRDefault="00462748" w:rsidP="00032BAE"/>
        </w:tc>
        <w:tc>
          <w:tcPr>
            <w:tcW w:w="4139" w:type="dxa"/>
            <w:tcMar>
              <w:top w:w="113" w:type="dxa"/>
              <w:left w:w="113" w:type="dxa"/>
              <w:bottom w:w="113" w:type="dxa"/>
              <w:right w:w="113" w:type="dxa"/>
            </w:tcMar>
            <w:vAlign w:val="center"/>
          </w:tcPr>
          <w:p w14:paraId="299C8051" w14:textId="77777777" w:rsidR="00462748" w:rsidRPr="00E657B1" w:rsidRDefault="00462748" w:rsidP="00032BAE">
            <w:pPr>
              <w:pStyle w:val="CDIFigure-Table-BodyTextLeft"/>
            </w:pPr>
            <w:r w:rsidRPr="00E657B1">
              <w:t xml:space="preserve">Work directly with animals – at work only </w:t>
            </w:r>
          </w:p>
        </w:tc>
        <w:tc>
          <w:tcPr>
            <w:tcW w:w="1053" w:type="dxa"/>
            <w:tcMar>
              <w:top w:w="113" w:type="dxa"/>
              <w:left w:w="113" w:type="dxa"/>
              <w:bottom w:w="113" w:type="dxa"/>
              <w:right w:w="113" w:type="dxa"/>
            </w:tcMar>
            <w:vAlign w:val="center"/>
          </w:tcPr>
          <w:p w14:paraId="73F37971" w14:textId="77777777" w:rsidR="00462748" w:rsidRPr="00E657B1" w:rsidRDefault="00462748" w:rsidP="00032BAE">
            <w:pPr>
              <w:pStyle w:val="CDIFigure-Table-BodyTextCentre"/>
            </w:pPr>
            <w:r w:rsidRPr="00E657B1">
              <w:t>7</w:t>
            </w:r>
          </w:p>
        </w:tc>
        <w:tc>
          <w:tcPr>
            <w:tcW w:w="1053" w:type="dxa"/>
            <w:tcMar>
              <w:top w:w="113" w:type="dxa"/>
              <w:left w:w="113" w:type="dxa"/>
              <w:bottom w:w="113" w:type="dxa"/>
              <w:right w:w="113" w:type="dxa"/>
            </w:tcMar>
            <w:vAlign w:val="center"/>
          </w:tcPr>
          <w:p w14:paraId="5E86D1F8" w14:textId="77777777" w:rsidR="00462748" w:rsidRPr="00E657B1" w:rsidRDefault="00462748" w:rsidP="00032BAE">
            <w:pPr>
              <w:pStyle w:val="CDIFigure-Table-BodyTextCentre"/>
            </w:pPr>
            <w:r w:rsidRPr="00E657B1">
              <w:t>70.0</w:t>
            </w:r>
          </w:p>
        </w:tc>
        <w:tc>
          <w:tcPr>
            <w:tcW w:w="1053" w:type="dxa"/>
            <w:tcMar>
              <w:top w:w="113" w:type="dxa"/>
              <w:left w:w="113" w:type="dxa"/>
              <w:bottom w:w="113" w:type="dxa"/>
              <w:right w:w="113" w:type="dxa"/>
            </w:tcMar>
            <w:vAlign w:val="center"/>
          </w:tcPr>
          <w:p w14:paraId="753202EA" w14:textId="77777777" w:rsidR="00462748" w:rsidRPr="00E657B1" w:rsidRDefault="00462748" w:rsidP="00032BAE">
            <w:pPr>
              <w:pStyle w:val="CDIFigure-Table-BodyTextCentre"/>
            </w:pPr>
            <w:r w:rsidRPr="00E657B1">
              <w:t>70</w:t>
            </w:r>
          </w:p>
        </w:tc>
        <w:tc>
          <w:tcPr>
            <w:tcW w:w="1053" w:type="dxa"/>
            <w:tcMar>
              <w:top w:w="113" w:type="dxa"/>
              <w:left w:w="113" w:type="dxa"/>
              <w:bottom w:w="113" w:type="dxa"/>
              <w:right w:w="113" w:type="dxa"/>
            </w:tcMar>
            <w:vAlign w:val="center"/>
          </w:tcPr>
          <w:p w14:paraId="1AA6B376" w14:textId="77777777" w:rsidR="00462748" w:rsidRPr="00E657B1" w:rsidRDefault="00462748" w:rsidP="00032BAE">
            <w:pPr>
              <w:pStyle w:val="CDIFigure-Table-BodyTextCentre"/>
            </w:pPr>
            <w:r w:rsidRPr="00E657B1">
              <w:t>58.8</w:t>
            </w:r>
          </w:p>
        </w:tc>
        <w:tc>
          <w:tcPr>
            <w:tcW w:w="1374" w:type="dxa"/>
            <w:tcMar>
              <w:top w:w="113" w:type="dxa"/>
              <w:left w:w="113" w:type="dxa"/>
              <w:bottom w:w="113" w:type="dxa"/>
              <w:right w:w="113" w:type="dxa"/>
            </w:tcMar>
            <w:vAlign w:val="center"/>
          </w:tcPr>
          <w:p w14:paraId="083F7170" w14:textId="77777777" w:rsidR="00462748" w:rsidRPr="00E657B1" w:rsidRDefault="00462748" w:rsidP="00032BAE">
            <w:pPr>
              <w:pStyle w:val="CDIFigure-Table-BodyTextCentre"/>
            </w:pPr>
            <w:r w:rsidRPr="00E657B1">
              <w:t>1.58</w:t>
            </w:r>
          </w:p>
        </w:tc>
        <w:tc>
          <w:tcPr>
            <w:tcW w:w="1374" w:type="dxa"/>
            <w:tcMar>
              <w:top w:w="113" w:type="dxa"/>
              <w:left w:w="113" w:type="dxa"/>
              <w:bottom w:w="113" w:type="dxa"/>
              <w:right w:w="113" w:type="dxa"/>
            </w:tcMar>
            <w:vAlign w:val="center"/>
          </w:tcPr>
          <w:p w14:paraId="04EF98AD" w14:textId="77777777" w:rsidR="00462748" w:rsidRPr="00E657B1" w:rsidRDefault="00462748" w:rsidP="00032BAE">
            <w:pPr>
              <w:pStyle w:val="CDIFigure-Table-BodyTextCentre"/>
            </w:pPr>
            <w:r w:rsidRPr="00E657B1">
              <w:t>0.41–8.08</w:t>
            </w:r>
          </w:p>
        </w:tc>
        <w:tc>
          <w:tcPr>
            <w:tcW w:w="1375" w:type="dxa"/>
            <w:tcMar>
              <w:top w:w="113" w:type="dxa"/>
              <w:left w:w="113" w:type="dxa"/>
              <w:bottom w:w="113" w:type="dxa"/>
              <w:right w:w="113" w:type="dxa"/>
            </w:tcMar>
            <w:vAlign w:val="center"/>
          </w:tcPr>
          <w:p w14:paraId="76C0E728" w14:textId="77777777" w:rsidR="00462748" w:rsidRPr="00E657B1" w:rsidRDefault="00462748" w:rsidP="00032BAE">
            <w:pPr>
              <w:pStyle w:val="CDIFigure-Table-BodyTextCentre"/>
            </w:pPr>
            <w:r w:rsidRPr="00E657B1">
              <w:t>0.74</w:t>
            </w:r>
          </w:p>
        </w:tc>
      </w:tr>
      <w:tr w:rsidR="00462748" w:rsidRPr="00E657B1" w14:paraId="3AF7753E" w14:textId="77777777" w:rsidTr="00462748">
        <w:trPr>
          <w:divId w:val="935526654"/>
          <w:trHeight w:val="20"/>
        </w:trPr>
        <w:tc>
          <w:tcPr>
            <w:tcW w:w="1701" w:type="dxa"/>
            <w:vMerge/>
            <w:tcBorders>
              <w:bottom w:val="single" w:sz="4" w:space="0" w:color="033636" w:themeColor="text2"/>
            </w:tcBorders>
            <w:shd w:val="clear" w:color="auto" w:fill="C5FFEF" w:themeFill="background2" w:themeFillTint="33"/>
          </w:tcPr>
          <w:p w14:paraId="42569365" w14:textId="77777777" w:rsidR="00462748" w:rsidRPr="00E657B1" w:rsidRDefault="00462748" w:rsidP="00032BAE"/>
        </w:tc>
        <w:tc>
          <w:tcPr>
            <w:tcW w:w="4139"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0E61555F" w14:textId="77777777" w:rsidR="00462748" w:rsidRPr="00E657B1" w:rsidRDefault="00462748" w:rsidP="00032BAE">
            <w:pPr>
              <w:pStyle w:val="CDIFigure-Table-BodyTextLeft"/>
            </w:pPr>
            <w:r w:rsidRPr="00E657B1">
              <w:t>Work provided with insect repellent – protective behaviours</w:t>
            </w:r>
          </w:p>
        </w:tc>
        <w:tc>
          <w:tcPr>
            <w:tcW w:w="1053"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4714E285" w14:textId="77777777" w:rsidR="00462748" w:rsidRPr="00E657B1" w:rsidRDefault="00462748" w:rsidP="00032BAE">
            <w:pPr>
              <w:pStyle w:val="CDIFigure-Table-BodyTextCentre"/>
            </w:pPr>
            <w:r w:rsidRPr="00E657B1">
              <w:t>9</w:t>
            </w:r>
          </w:p>
        </w:tc>
        <w:tc>
          <w:tcPr>
            <w:tcW w:w="1053"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0742ED53" w14:textId="77777777" w:rsidR="00462748" w:rsidRPr="00E657B1" w:rsidRDefault="00462748" w:rsidP="00032BAE">
            <w:pPr>
              <w:pStyle w:val="CDIFigure-Table-BodyTextCentre"/>
            </w:pPr>
            <w:r w:rsidRPr="00E657B1">
              <w:t>90.0</w:t>
            </w:r>
          </w:p>
        </w:tc>
        <w:tc>
          <w:tcPr>
            <w:tcW w:w="1053"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2D9736EF" w14:textId="77777777" w:rsidR="00462748" w:rsidRPr="00E657B1" w:rsidRDefault="00462748" w:rsidP="00032BAE">
            <w:pPr>
              <w:pStyle w:val="CDIFigure-Table-BodyTextCentre"/>
            </w:pPr>
            <w:r w:rsidRPr="00E657B1">
              <w:t>108</w:t>
            </w:r>
          </w:p>
        </w:tc>
        <w:tc>
          <w:tcPr>
            <w:tcW w:w="1053"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1D2347FE" w14:textId="77777777" w:rsidR="00462748" w:rsidRPr="00E657B1" w:rsidRDefault="00462748" w:rsidP="00032BAE">
            <w:pPr>
              <w:pStyle w:val="CDIFigure-Table-BodyTextCentre"/>
            </w:pPr>
            <w:r w:rsidRPr="00E657B1">
              <w:t>90.7</w:t>
            </w:r>
          </w:p>
        </w:tc>
        <w:tc>
          <w:tcPr>
            <w:tcW w:w="1374"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6D8D9497" w14:textId="77777777" w:rsidR="00462748" w:rsidRPr="00E657B1" w:rsidRDefault="00462748" w:rsidP="00032BAE">
            <w:pPr>
              <w:pStyle w:val="CDIFigure-Table-BodyTextCentre"/>
            </w:pPr>
            <w:r w:rsidRPr="00E657B1">
              <w:t>0.83</w:t>
            </w:r>
          </w:p>
        </w:tc>
        <w:tc>
          <w:tcPr>
            <w:tcW w:w="1374"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6B8A6355" w14:textId="77777777" w:rsidR="00462748" w:rsidRPr="00E657B1" w:rsidRDefault="00462748" w:rsidP="00032BAE">
            <w:pPr>
              <w:pStyle w:val="CDIFigure-Table-BodyTextCentre"/>
            </w:pPr>
            <w:r w:rsidRPr="00E657B1">
              <w:t>0.13–22.01</w:t>
            </w:r>
          </w:p>
        </w:tc>
        <w:tc>
          <w:tcPr>
            <w:tcW w:w="1375"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3711A519" w14:textId="77777777" w:rsidR="00462748" w:rsidRPr="00E657B1" w:rsidRDefault="00462748" w:rsidP="00032BAE">
            <w:pPr>
              <w:pStyle w:val="CDIFigure-Table-BodyTextCentre"/>
            </w:pPr>
            <w:r w:rsidRPr="00E657B1">
              <w:t>1</w:t>
            </w:r>
          </w:p>
        </w:tc>
      </w:tr>
      <w:tr w:rsidR="00462748" w:rsidRPr="00E657B1" w14:paraId="2B7C2738" w14:textId="77777777" w:rsidTr="00462748">
        <w:trPr>
          <w:divId w:val="935526654"/>
          <w:trHeight w:val="20"/>
        </w:trPr>
        <w:tc>
          <w:tcPr>
            <w:tcW w:w="1701" w:type="dxa"/>
            <w:vMerge w:val="restart"/>
            <w:tcBorders>
              <w:top w:val="single" w:sz="4" w:space="0" w:color="033636" w:themeColor="text2"/>
              <w:bottom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4259981A" w14:textId="77777777" w:rsidR="00462748" w:rsidRPr="00E657B1" w:rsidRDefault="00462748" w:rsidP="00032BAE">
            <w:pPr>
              <w:pStyle w:val="CDIFigure-Table-BodyTextLeft"/>
              <w:keepNext/>
              <w:keepLines/>
            </w:pPr>
            <w:r w:rsidRPr="00E657B1">
              <w:lastRenderedPageBreak/>
              <w:t>Recreational/</w:t>
            </w:r>
            <w:r>
              <w:br/>
            </w:r>
            <w:r w:rsidRPr="00E657B1">
              <w:t>residential only</w:t>
            </w:r>
          </w:p>
        </w:tc>
        <w:tc>
          <w:tcPr>
            <w:tcW w:w="4139" w:type="dxa"/>
            <w:tcBorders>
              <w:top w:val="single" w:sz="4" w:space="0" w:color="033636" w:themeColor="text2"/>
            </w:tcBorders>
            <w:tcMar>
              <w:top w:w="113" w:type="dxa"/>
              <w:left w:w="113" w:type="dxa"/>
              <w:bottom w:w="113" w:type="dxa"/>
              <w:right w:w="113" w:type="dxa"/>
            </w:tcMar>
            <w:vAlign w:val="center"/>
          </w:tcPr>
          <w:p w14:paraId="022CE95A" w14:textId="77777777" w:rsidR="00462748" w:rsidRPr="00E657B1" w:rsidRDefault="00462748" w:rsidP="00032BAE">
            <w:pPr>
              <w:pStyle w:val="CDIFigure-Table-BodyTextLeft"/>
              <w:keepNext/>
              <w:keepLines/>
            </w:pPr>
            <w:r w:rsidRPr="00E657B1">
              <w:t xml:space="preserve">Lives on a farm </w:t>
            </w:r>
          </w:p>
        </w:tc>
        <w:tc>
          <w:tcPr>
            <w:tcW w:w="1053" w:type="dxa"/>
            <w:tcBorders>
              <w:top w:val="single" w:sz="4" w:space="0" w:color="033636" w:themeColor="text2"/>
            </w:tcBorders>
            <w:tcMar>
              <w:top w:w="113" w:type="dxa"/>
              <w:left w:w="113" w:type="dxa"/>
              <w:bottom w:w="113" w:type="dxa"/>
              <w:right w:w="113" w:type="dxa"/>
            </w:tcMar>
            <w:vAlign w:val="center"/>
          </w:tcPr>
          <w:p w14:paraId="1000D540" w14:textId="77777777" w:rsidR="00462748" w:rsidRPr="00E657B1" w:rsidRDefault="00462748" w:rsidP="00032BAE">
            <w:pPr>
              <w:pStyle w:val="CDIFigure-Table-BodyTextCentre"/>
              <w:keepNext/>
              <w:keepLines/>
            </w:pPr>
            <w:r w:rsidRPr="00E657B1">
              <w:t>2</w:t>
            </w:r>
          </w:p>
        </w:tc>
        <w:tc>
          <w:tcPr>
            <w:tcW w:w="1053" w:type="dxa"/>
            <w:tcBorders>
              <w:top w:val="single" w:sz="4" w:space="0" w:color="033636" w:themeColor="text2"/>
            </w:tcBorders>
            <w:tcMar>
              <w:top w:w="113" w:type="dxa"/>
              <w:left w:w="113" w:type="dxa"/>
              <w:bottom w:w="113" w:type="dxa"/>
              <w:right w:w="113" w:type="dxa"/>
            </w:tcMar>
            <w:vAlign w:val="center"/>
          </w:tcPr>
          <w:p w14:paraId="0B01AA88" w14:textId="77777777" w:rsidR="00462748" w:rsidRPr="00E657B1" w:rsidRDefault="00462748" w:rsidP="00032BAE">
            <w:pPr>
              <w:pStyle w:val="CDIFigure-Table-BodyTextCentre"/>
              <w:keepNext/>
              <w:keepLines/>
            </w:pPr>
            <w:r w:rsidRPr="00E657B1">
              <w:t>20.0</w:t>
            </w:r>
          </w:p>
        </w:tc>
        <w:tc>
          <w:tcPr>
            <w:tcW w:w="1053" w:type="dxa"/>
            <w:tcBorders>
              <w:top w:val="single" w:sz="4" w:space="0" w:color="033636" w:themeColor="text2"/>
            </w:tcBorders>
            <w:tcMar>
              <w:top w:w="113" w:type="dxa"/>
              <w:left w:w="113" w:type="dxa"/>
              <w:bottom w:w="113" w:type="dxa"/>
              <w:right w:w="113" w:type="dxa"/>
            </w:tcMar>
            <w:vAlign w:val="center"/>
          </w:tcPr>
          <w:p w14:paraId="59F7E950" w14:textId="77777777" w:rsidR="00462748" w:rsidRPr="00E657B1" w:rsidRDefault="00462748" w:rsidP="00032BAE">
            <w:pPr>
              <w:pStyle w:val="CDIFigure-Table-BodyTextCentre"/>
              <w:keepNext/>
              <w:keepLines/>
            </w:pPr>
            <w:r w:rsidRPr="00E657B1">
              <w:t>21</w:t>
            </w:r>
          </w:p>
        </w:tc>
        <w:tc>
          <w:tcPr>
            <w:tcW w:w="1053" w:type="dxa"/>
            <w:tcBorders>
              <w:top w:val="single" w:sz="4" w:space="0" w:color="033636" w:themeColor="text2"/>
            </w:tcBorders>
            <w:tcMar>
              <w:top w:w="113" w:type="dxa"/>
              <w:left w:w="113" w:type="dxa"/>
              <w:bottom w:w="113" w:type="dxa"/>
              <w:right w:w="113" w:type="dxa"/>
            </w:tcMar>
            <w:vAlign w:val="center"/>
          </w:tcPr>
          <w:p w14:paraId="16BE8DF6" w14:textId="77777777" w:rsidR="00462748" w:rsidRPr="00E657B1" w:rsidRDefault="00462748" w:rsidP="00032BAE">
            <w:pPr>
              <w:pStyle w:val="CDIFigure-Table-BodyTextCentre"/>
              <w:keepNext/>
              <w:keepLines/>
            </w:pPr>
            <w:r w:rsidRPr="00E657B1">
              <w:t>17.6</w:t>
            </w:r>
          </w:p>
        </w:tc>
        <w:tc>
          <w:tcPr>
            <w:tcW w:w="1374" w:type="dxa"/>
            <w:tcBorders>
              <w:top w:val="single" w:sz="4" w:space="0" w:color="033636" w:themeColor="text2"/>
            </w:tcBorders>
            <w:tcMar>
              <w:top w:w="113" w:type="dxa"/>
              <w:left w:w="113" w:type="dxa"/>
              <w:bottom w:w="113" w:type="dxa"/>
              <w:right w:w="113" w:type="dxa"/>
            </w:tcMar>
            <w:vAlign w:val="center"/>
          </w:tcPr>
          <w:p w14:paraId="2758DF6D" w14:textId="77777777" w:rsidR="00462748" w:rsidRPr="00E657B1" w:rsidRDefault="00462748" w:rsidP="00032BAE">
            <w:pPr>
              <w:pStyle w:val="CDIFigure-Table-BodyTextCentre"/>
              <w:keepNext/>
              <w:keepLines/>
            </w:pPr>
            <w:r w:rsidRPr="00E657B1">
              <w:t>1.22</w:t>
            </w:r>
          </w:p>
        </w:tc>
        <w:tc>
          <w:tcPr>
            <w:tcW w:w="1374" w:type="dxa"/>
            <w:tcBorders>
              <w:top w:val="single" w:sz="4" w:space="0" w:color="033636" w:themeColor="text2"/>
            </w:tcBorders>
            <w:tcMar>
              <w:top w:w="113" w:type="dxa"/>
              <w:left w:w="113" w:type="dxa"/>
              <w:bottom w:w="113" w:type="dxa"/>
              <w:right w:w="113" w:type="dxa"/>
            </w:tcMar>
            <w:vAlign w:val="center"/>
          </w:tcPr>
          <w:p w14:paraId="17800FE6" w14:textId="77777777" w:rsidR="00462748" w:rsidRPr="00E657B1" w:rsidRDefault="00462748" w:rsidP="00032BAE">
            <w:pPr>
              <w:pStyle w:val="CDIFigure-Table-BodyTextCentre"/>
              <w:keepNext/>
              <w:keepLines/>
            </w:pPr>
            <w:r w:rsidRPr="00E657B1">
              <w:t>0.16–5.48</w:t>
            </w:r>
          </w:p>
        </w:tc>
        <w:tc>
          <w:tcPr>
            <w:tcW w:w="1375" w:type="dxa"/>
            <w:tcBorders>
              <w:top w:val="single" w:sz="4" w:space="0" w:color="033636" w:themeColor="text2"/>
            </w:tcBorders>
            <w:tcMar>
              <w:top w:w="113" w:type="dxa"/>
              <w:left w:w="113" w:type="dxa"/>
              <w:bottom w:w="113" w:type="dxa"/>
              <w:right w:w="113" w:type="dxa"/>
            </w:tcMar>
            <w:vAlign w:val="center"/>
          </w:tcPr>
          <w:p w14:paraId="26EE9FFB" w14:textId="77777777" w:rsidR="00462748" w:rsidRPr="00E657B1" w:rsidRDefault="00462748" w:rsidP="00032BAE">
            <w:pPr>
              <w:pStyle w:val="CDIFigure-Table-BodyTextCentre"/>
              <w:keepNext/>
              <w:keepLines/>
            </w:pPr>
            <w:r w:rsidRPr="00E657B1">
              <w:t>1</w:t>
            </w:r>
          </w:p>
        </w:tc>
      </w:tr>
      <w:tr w:rsidR="00462748" w:rsidRPr="00E657B1" w14:paraId="66F744E9" w14:textId="77777777" w:rsidTr="00462748">
        <w:trPr>
          <w:divId w:val="935526654"/>
          <w:trHeight w:val="20"/>
        </w:trPr>
        <w:tc>
          <w:tcPr>
            <w:tcW w:w="1701" w:type="dxa"/>
            <w:vMerge/>
            <w:tcBorders>
              <w:bottom w:val="single" w:sz="4" w:space="0" w:color="033636" w:themeColor="text2"/>
            </w:tcBorders>
            <w:shd w:val="clear" w:color="auto" w:fill="C5FFEF" w:themeFill="background2" w:themeFillTint="33"/>
          </w:tcPr>
          <w:p w14:paraId="54F94A50" w14:textId="77777777" w:rsidR="00462748" w:rsidRPr="00E657B1" w:rsidRDefault="00462748" w:rsidP="00032BAE">
            <w:pPr>
              <w:keepNext/>
              <w:keepLines/>
            </w:pPr>
          </w:p>
        </w:tc>
        <w:tc>
          <w:tcPr>
            <w:tcW w:w="4139" w:type="dxa"/>
            <w:shd w:val="clear" w:color="auto" w:fill="F2F2F2" w:themeFill="background1" w:themeFillShade="F2"/>
            <w:tcMar>
              <w:top w:w="113" w:type="dxa"/>
              <w:left w:w="113" w:type="dxa"/>
              <w:bottom w:w="113" w:type="dxa"/>
              <w:right w:w="113" w:type="dxa"/>
            </w:tcMar>
            <w:vAlign w:val="center"/>
          </w:tcPr>
          <w:p w14:paraId="7AA4B706" w14:textId="77777777" w:rsidR="00462748" w:rsidRPr="00E657B1" w:rsidRDefault="00462748" w:rsidP="00032BAE">
            <w:pPr>
              <w:pStyle w:val="CDIFigure-Table-BodyTextLeft"/>
              <w:keepNext/>
              <w:keepLines/>
            </w:pPr>
            <w:r w:rsidRPr="00E657B1">
              <w:t>Lives in New South Wales</w:t>
            </w:r>
          </w:p>
        </w:tc>
        <w:tc>
          <w:tcPr>
            <w:tcW w:w="1053" w:type="dxa"/>
            <w:shd w:val="clear" w:color="auto" w:fill="F2F2F2" w:themeFill="background1" w:themeFillShade="F2"/>
            <w:tcMar>
              <w:top w:w="113" w:type="dxa"/>
              <w:left w:w="113" w:type="dxa"/>
              <w:bottom w:w="113" w:type="dxa"/>
              <w:right w:w="113" w:type="dxa"/>
            </w:tcMar>
            <w:vAlign w:val="center"/>
          </w:tcPr>
          <w:p w14:paraId="1C0E6AD3" w14:textId="77777777" w:rsidR="00462748" w:rsidRPr="00E657B1" w:rsidRDefault="00462748" w:rsidP="00032BAE">
            <w:pPr>
              <w:pStyle w:val="CDIFigure-Table-BodyTextCentre"/>
              <w:keepNext/>
              <w:keepLines/>
            </w:pPr>
            <w:r w:rsidRPr="00E657B1">
              <w:t>6</w:t>
            </w:r>
          </w:p>
        </w:tc>
        <w:tc>
          <w:tcPr>
            <w:tcW w:w="1053" w:type="dxa"/>
            <w:shd w:val="clear" w:color="auto" w:fill="F2F2F2" w:themeFill="background1" w:themeFillShade="F2"/>
            <w:tcMar>
              <w:top w:w="113" w:type="dxa"/>
              <w:left w:w="113" w:type="dxa"/>
              <w:bottom w:w="113" w:type="dxa"/>
              <w:right w:w="113" w:type="dxa"/>
            </w:tcMar>
            <w:vAlign w:val="center"/>
          </w:tcPr>
          <w:p w14:paraId="7024EE0D" w14:textId="77777777" w:rsidR="00462748" w:rsidRPr="00E657B1" w:rsidRDefault="00462748" w:rsidP="00032BAE">
            <w:pPr>
              <w:pStyle w:val="CDIFigure-Table-BodyTextCentre"/>
              <w:keepNext/>
              <w:keepLines/>
            </w:pPr>
            <w:r w:rsidRPr="00E657B1">
              <w:t>60.0</w:t>
            </w:r>
          </w:p>
        </w:tc>
        <w:tc>
          <w:tcPr>
            <w:tcW w:w="1053" w:type="dxa"/>
            <w:shd w:val="clear" w:color="auto" w:fill="F2F2F2" w:themeFill="background1" w:themeFillShade="F2"/>
            <w:tcMar>
              <w:top w:w="113" w:type="dxa"/>
              <w:left w:w="113" w:type="dxa"/>
              <w:bottom w:w="113" w:type="dxa"/>
              <w:right w:w="113" w:type="dxa"/>
            </w:tcMar>
            <w:vAlign w:val="center"/>
          </w:tcPr>
          <w:p w14:paraId="53CD5AEA" w14:textId="77777777" w:rsidR="00462748" w:rsidRPr="00E657B1" w:rsidRDefault="00462748" w:rsidP="00032BAE">
            <w:pPr>
              <w:pStyle w:val="CDIFigure-Table-BodyTextCentre"/>
              <w:keepNext/>
              <w:keepLines/>
            </w:pPr>
            <w:r w:rsidRPr="00E657B1">
              <w:t>71</w:t>
            </w:r>
          </w:p>
        </w:tc>
        <w:tc>
          <w:tcPr>
            <w:tcW w:w="1053" w:type="dxa"/>
            <w:shd w:val="clear" w:color="auto" w:fill="F2F2F2" w:themeFill="background1" w:themeFillShade="F2"/>
            <w:tcMar>
              <w:top w:w="113" w:type="dxa"/>
              <w:left w:w="113" w:type="dxa"/>
              <w:bottom w:w="113" w:type="dxa"/>
              <w:right w:w="113" w:type="dxa"/>
            </w:tcMar>
            <w:vAlign w:val="center"/>
          </w:tcPr>
          <w:p w14:paraId="082595F5" w14:textId="77777777" w:rsidR="00462748" w:rsidRPr="00E657B1" w:rsidRDefault="00462748" w:rsidP="00032BAE">
            <w:pPr>
              <w:pStyle w:val="CDIFigure-Table-BodyTextCentre"/>
              <w:keepNext/>
              <w:keepLines/>
            </w:pPr>
            <w:r w:rsidRPr="00E657B1">
              <w:t>59.7</w:t>
            </w:r>
          </w:p>
        </w:tc>
        <w:tc>
          <w:tcPr>
            <w:tcW w:w="1374" w:type="dxa"/>
            <w:shd w:val="clear" w:color="auto" w:fill="F2F2F2" w:themeFill="background1" w:themeFillShade="F2"/>
            <w:tcMar>
              <w:top w:w="113" w:type="dxa"/>
              <w:left w:w="113" w:type="dxa"/>
              <w:bottom w:w="113" w:type="dxa"/>
              <w:right w:w="113" w:type="dxa"/>
            </w:tcMar>
            <w:vAlign w:val="center"/>
          </w:tcPr>
          <w:p w14:paraId="24F68E67" w14:textId="77777777" w:rsidR="00462748" w:rsidRPr="00E657B1" w:rsidRDefault="00462748" w:rsidP="00032BAE">
            <w:pPr>
              <w:pStyle w:val="CDIFigure-Table-BodyTextCentre"/>
              <w:keepNext/>
              <w:keepLines/>
            </w:pPr>
            <w:r w:rsidRPr="00E657B1">
              <w:t>0.71</w:t>
            </w:r>
          </w:p>
        </w:tc>
        <w:tc>
          <w:tcPr>
            <w:tcW w:w="1374" w:type="dxa"/>
            <w:shd w:val="clear" w:color="auto" w:fill="F2F2F2" w:themeFill="background1" w:themeFillShade="F2"/>
            <w:tcMar>
              <w:top w:w="113" w:type="dxa"/>
              <w:left w:w="113" w:type="dxa"/>
              <w:bottom w:w="113" w:type="dxa"/>
              <w:right w:w="113" w:type="dxa"/>
            </w:tcMar>
            <w:vAlign w:val="center"/>
          </w:tcPr>
          <w:p w14:paraId="21C1DA50" w14:textId="77777777" w:rsidR="00462748" w:rsidRPr="00E657B1" w:rsidRDefault="00462748" w:rsidP="00032BAE">
            <w:pPr>
              <w:pStyle w:val="CDIFigure-Table-BodyTextCentre"/>
              <w:keepNext/>
              <w:keepLines/>
            </w:pPr>
            <w:r w:rsidRPr="00E657B1">
              <w:t>0.19–3.07</w:t>
            </w:r>
          </w:p>
        </w:tc>
        <w:tc>
          <w:tcPr>
            <w:tcW w:w="1375" w:type="dxa"/>
            <w:shd w:val="clear" w:color="auto" w:fill="F2F2F2" w:themeFill="background1" w:themeFillShade="F2"/>
            <w:tcMar>
              <w:top w:w="113" w:type="dxa"/>
              <w:left w:w="113" w:type="dxa"/>
              <w:bottom w:w="113" w:type="dxa"/>
              <w:right w:w="113" w:type="dxa"/>
            </w:tcMar>
            <w:vAlign w:val="center"/>
          </w:tcPr>
          <w:p w14:paraId="24E10130" w14:textId="77777777" w:rsidR="00462748" w:rsidRPr="00E657B1" w:rsidRDefault="00462748" w:rsidP="00032BAE">
            <w:pPr>
              <w:pStyle w:val="CDIFigure-Table-BodyTextCentre"/>
              <w:keepNext/>
              <w:keepLines/>
            </w:pPr>
            <w:r w:rsidRPr="00E657B1">
              <w:t>0.73</w:t>
            </w:r>
          </w:p>
        </w:tc>
      </w:tr>
      <w:tr w:rsidR="00462748" w:rsidRPr="00E657B1" w14:paraId="54945A0F" w14:textId="77777777" w:rsidTr="00462748">
        <w:trPr>
          <w:divId w:val="935526654"/>
          <w:trHeight w:val="20"/>
        </w:trPr>
        <w:tc>
          <w:tcPr>
            <w:tcW w:w="1701" w:type="dxa"/>
            <w:vMerge/>
            <w:tcBorders>
              <w:bottom w:val="single" w:sz="4" w:space="0" w:color="033636" w:themeColor="text2"/>
            </w:tcBorders>
            <w:shd w:val="clear" w:color="auto" w:fill="C5FFEF" w:themeFill="background2" w:themeFillTint="33"/>
          </w:tcPr>
          <w:p w14:paraId="371B7A82" w14:textId="77777777" w:rsidR="00462748" w:rsidRPr="00E657B1" w:rsidRDefault="00462748" w:rsidP="00032BAE">
            <w:pPr>
              <w:keepNext/>
              <w:keepLines/>
            </w:pPr>
          </w:p>
        </w:tc>
        <w:tc>
          <w:tcPr>
            <w:tcW w:w="4139" w:type="dxa"/>
            <w:tcMar>
              <w:top w:w="113" w:type="dxa"/>
              <w:left w:w="113" w:type="dxa"/>
              <w:bottom w:w="113" w:type="dxa"/>
              <w:right w:w="113" w:type="dxa"/>
            </w:tcMar>
            <w:vAlign w:val="center"/>
          </w:tcPr>
          <w:p w14:paraId="34379B3A" w14:textId="77777777" w:rsidR="00462748" w:rsidRPr="00E657B1" w:rsidRDefault="00462748" w:rsidP="00032BAE">
            <w:pPr>
              <w:pStyle w:val="CDIFigure-Table-BodyTextLeft"/>
              <w:keepNext/>
              <w:keepLines/>
            </w:pPr>
            <w:r w:rsidRPr="00E657B1">
              <w:t>Direct contact with animals outside of work (pigs</w:t>
            </w:r>
            <w:r>
              <w:t> </w:t>
            </w:r>
            <w:r w:rsidRPr="00E657B1">
              <w:t xml:space="preserve"> horses, cattle, water birds)</w:t>
            </w:r>
          </w:p>
        </w:tc>
        <w:tc>
          <w:tcPr>
            <w:tcW w:w="1053" w:type="dxa"/>
            <w:tcMar>
              <w:top w:w="113" w:type="dxa"/>
              <w:left w:w="113" w:type="dxa"/>
              <w:bottom w:w="113" w:type="dxa"/>
              <w:right w:w="113" w:type="dxa"/>
            </w:tcMar>
            <w:vAlign w:val="center"/>
          </w:tcPr>
          <w:p w14:paraId="544ADD48" w14:textId="77777777" w:rsidR="00462748" w:rsidRPr="00E657B1" w:rsidRDefault="00462748" w:rsidP="00032BAE">
            <w:pPr>
              <w:pStyle w:val="CDIFigure-Table-BodyTextCentre"/>
              <w:keepNext/>
              <w:keepLines/>
            </w:pPr>
            <w:r w:rsidRPr="00E657B1">
              <w:t>2</w:t>
            </w:r>
          </w:p>
        </w:tc>
        <w:tc>
          <w:tcPr>
            <w:tcW w:w="1053" w:type="dxa"/>
            <w:tcMar>
              <w:top w:w="113" w:type="dxa"/>
              <w:left w:w="113" w:type="dxa"/>
              <w:bottom w:w="113" w:type="dxa"/>
              <w:right w:w="113" w:type="dxa"/>
            </w:tcMar>
            <w:vAlign w:val="center"/>
          </w:tcPr>
          <w:p w14:paraId="5717EB7F" w14:textId="77777777" w:rsidR="00462748" w:rsidRPr="00E657B1" w:rsidRDefault="00462748" w:rsidP="00032BAE">
            <w:pPr>
              <w:pStyle w:val="CDIFigure-Table-BodyTextCentre"/>
              <w:keepNext/>
              <w:keepLines/>
            </w:pPr>
            <w:r w:rsidRPr="00E657B1">
              <w:t>20.0</w:t>
            </w:r>
          </w:p>
        </w:tc>
        <w:tc>
          <w:tcPr>
            <w:tcW w:w="1053" w:type="dxa"/>
            <w:tcMar>
              <w:top w:w="113" w:type="dxa"/>
              <w:left w:w="113" w:type="dxa"/>
              <w:bottom w:w="113" w:type="dxa"/>
              <w:right w:w="113" w:type="dxa"/>
            </w:tcMar>
            <w:vAlign w:val="center"/>
          </w:tcPr>
          <w:p w14:paraId="4BB246E5" w14:textId="77777777" w:rsidR="00462748" w:rsidRPr="00E657B1" w:rsidRDefault="00462748" w:rsidP="00032BAE">
            <w:pPr>
              <w:pStyle w:val="CDIFigure-Table-BodyTextCentre"/>
              <w:keepNext/>
              <w:keepLines/>
            </w:pPr>
            <w:r w:rsidRPr="00E657B1">
              <w:t>24</w:t>
            </w:r>
          </w:p>
        </w:tc>
        <w:tc>
          <w:tcPr>
            <w:tcW w:w="1053" w:type="dxa"/>
            <w:tcMar>
              <w:top w:w="113" w:type="dxa"/>
              <w:left w:w="113" w:type="dxa"/>
              <w:bottom w:w="113" w:type="dxa"/>
              <w:right w:w="113" w:type="dxa"/>
            </w:tcMar>
            <w:vAlign w:val="center"/>
          </w:tcPr>
          <w:p w14:paraId="11569E47" w14:textId="77777777" w:rsidR="00462748" w:rsidRPr="00E657B1" w:rsidRDefault="00462748" w:rsidP="00032BAE">
            <w:pPr>
              <w:pStyle w:val="CDIFigure-Table-BodyTextCentre"/>
              <w:keepNext/>
              <w:keepLines/>
            </w:pPr>
            <w:r w:rsidRPr="00E657B1">
              <w:t>20.2</w:t>
            </w:r>
          </w:p>
        </w:tc>
        <w:tc>
          <w:tcPr>
            <w:tcW w:w="1374" w:type="dxa"/>
            <w:tcMar>
              <w:top w:w="113" w:type="dxa"/>
              <w:left w:w="113" w:type="dxa"/>
              <w:bottom w:w="113" w:type="dxa"/>
              <w:right w:w="113" w:type="dxa"/>
            </w:tcMar>
            <w:vAlign w:val="center"/>
          </w:tcPr>
          <w:p w14:paraId="4302D087" w14:textId="77777777" w:rsidR="00462748" w:rsidRPr="00E657B1" w:rsidRDefault="00462748" w:rsidP="00032BAE">
            <w:pPr>
              <w:pStyle w:val="CDIFigure-Table-BodyTextCentre"/>
              <w:keepNext/>
              <w:keepLines/>
            </w:pPr>
            <w:r w:rsidRPr="00E657B1">
              <w:t>1.04</w:t>
            </w:r>
          </w:p>
        </w:tc>
        <w:tc>
          <w:tcPr>
            <w:tcW w:w="1374" w:type="dxa"/>
            <w:tcMar>
              <w:top w:w="113" w:type="dxa"/>
              <w:left w:w="113" w:type="dxa"/>
              <w:bottom w:w="113" w:type="dxa"/>
              <w:right w:w="113" w:type="dxa"/>
            </w:tcMar>
            <w:vAlign w:val="center"/>
          </w:tcPr>
          <w:p w14:paraId="5E069080" w14:textId="77777777" w:rsidR="00462748" w:rsidRPr="00E657B1" w:rsidRDefault="00462748" w:rsidP="00032BAE">
            <w:pPr>
              <w:pStyle w:val="CDIFigure-Table-BodyTextCentre"/>
              <w:keepNext/>
              <w:keepLines/>
            </w:pPr>
            <w:r w:rsidRPr="00E657B1">
              <w:t>0.14–4.62</w:t>
            </w:r>
          </w:p>
        </w:tc>
        <w:tc>
          <w:tcPr>
            <w:tcW w:w="1375" w:type="dxa"/>
            <w:tcMar>
              <w:top w:w="113" w:type="dxa"/>
              <w:left w:w="113" w:type="dxa"/>
              <w:bottom w:w="113" w:type="dxa"/>
              <w:right w:w="113" w:type="dxa"/>
            </w:tcMar>
            <w:vAlign w:val="center"/>
          </w:tcPr>
          <w:p w14:paraId="3CE266F3" w14:textId="77777777" w:rsidR="00462748" w:rsidRPr="00E657B1" w:rsidRDefault="00462748" w:rsidP="00032BAE">
            <w:pPr>
              <w:pStyle w:val="CDIFigure-Table-BodyTextCentre"/>
              <w:keepNext/>
              <w:keepLines/>
            </w:pPr>
            <w:r w:rsidRPr="00E657B1">
              <w:t>1</w:t>
            </w:r>
          </w:p>
        </w:tc>
      </w:tr>
      <w:tr w:rsidR="00462748" w:rsidRPr="00E657B1" w14:paraId="38111363" w14:textId="77777777" w:rsidTr="00462748">
        <w:trPr>
          <w:divId w:val="935526654"/>
          <w:trHeight w:val="20"/>
        </w:trPr>
        <w:tc>
          <w:tcPr>
            <w:tcW w:w="1701" w:type="dxa"/>
            <w:vMerge/>
            <w:tcBorders>
              <w:bottom w:val="single" w:sz="4" w:space="0" w:color="033636" w:themeColor="text2"/>
            </w:tcBorders>
            <w:shd w:val="clear" w:color="auto" w:fill="C5FFEF" w:themeFill="background2" w:themeFillTint="33"/>
          </w:tcPr>
          <w:p w14:paraId="5A4FCCDC" w14:textId="77777777" w:rsidR="00462748" w:rsidRPr="00E657B1" w:rsidRDefault="00462748" w:rsidP="00032BAE">
            <w:pPr>
              <w:keepNext/>
              <w:keepLines/>
            </w:pPr>
          </w:p>
        </w:tc>
        <w:tc>
          <w:tcPr>
            <w:tcW w:w="4139" w:type="dxa"/>
            <w:shd w:val="clear" w:color="auto" w:fill="F2F2F2" w:themeFill="background1" w:themeFillShade="F2"/>
            <w:tcMar>
              <w:top w:w="113" w:type="dxa"/>
              <w:left w:w="113" w:type="dxa"/>
              <w:bottom w:w="113" w:type="dxa"/>
              <w:right w:w="113" w:type="dxa"/>
            </w:tcMar>
            <w:vAlign w:val="center"/>
          </w:tcPr>
          <w:p w14:paraId="427304D7" w14:textId="77777777" w:rsidR="00462748" w:rsidRPr="00E657B1" w:rsidRDefault="00462748" w:rsidP="00032BAE">
            <w:pPr>
              <w:pStyle w:val="CDIFigure-Table-BodyTextLeft"/>
              <w:keepNext/>
              <w:keepLines/>
            </w:pPr>
            <w:r w:rsidRPr="00E657B1">
              <w:t xml:space="preserve">Gardening at home </w:t>
            </w:r>
          </w:p>
        </w:tc>
        <w:tc>
          <w:tcPr>
            <w:tcW w:w="1053" w:type="dxa"/>
            <w:shd w:val="clear" w:color="auto" w:fill="F2F2F2" w:themeFill="background1" w:themeFillShade="F2"/>
            <w:tcMar>
              <w:top w:w="113" w:type="dxa"/>
              <w:left w:w="113" w:type="dxa"/>
              <w:bottom w:w="113" w:type="dxa"/>
              <w:right w:w="113" w:type="dxa"/>
            </w:tcMar>
            <w:vAlign w:val="center"/>
          </w:tcPr>
          <w:p w14:paraId="518D7BAE" w14:textId="77777777" w:rsidR="00462748" w:rsidRPr="00E657B1" w:rsidRDefault="00462748" w:rsidP="00032BAE">
            <w:pPr>
              <w:pStyle w:val="CDIFigure-Table-BodyTextCentre"/>
              <w:keepNext/>
              <w:keepLines/>
            </w:pPr>
            <w:r w:rsidRPr="00E657B1">
              <w:t>8</w:t>
            </w:r>
          </w:p>
        </w:tc>
        <w:tc>
          <w:tcPr>
            <w:tcW w:w="1053" w:type="dxa"/>
            <w:shd w:val="clear" w:color="auto" w:fill="F2F2F2" w:themeFill="background1" w:themeFillShade="F2"/>
            <w:tcMar>
              <w:top w:w="113" w:type="dxa"/>
              <w:left w:w="113" w:type="dxa"/>
              <w:bottom w:w="113" w:type="dxa"/>
              <w:right w:w="113" w:type="dxa"/>
            </w:tcMar>
            <w:vAlign w:val="center"/>
          </w:tcPr>
          <w:p w14:paraId="3BCE984E" w14:textId="77777777" w:rsidR="00462748" w:rsidRPr="00E657B1" w:rsidRDefault="00462748" w:rsidP="00032BAE">
            <w:pPr>
              <w:pStyle w:val="CDIFigure-Table-BodyTextCentre"/>
              <w:keepNext/>
              <w:keepLines/>
            </w:pPr>
            <w:r w:rsidRPr="00E657B1">
              <w:t>80.0</w:t>
            </w:r>
          </w:p>
        </w:tc>
        <w:tc>
          <w:tcPr>
            <w:tcW w:w="1053" w:type="dxa"/>
            <w:shd w:val="clear" w:color="auto" w:fill="F2F2F2" w:themeFill="background1" w:themeFillShade="F2"/>
            <w:tcMar>
              <w:top w:w="113" w:type="dxa"/>
              <w:left w:w="113" w:type="dxa"/>
              <w:bottom w:w="113" w:type="dxa"/>
              <w:right w:w="113" w:type="dxa"/>
            </w:tcMar>
            <w:vAlign w:val="center"/>
          </w:tcPr>
          <w:p w14:paraId="7FB5B6DB" w14:textId="77777777" w:rsidR="00462748" w:rsidRPr="00E657B1" w:rsidRDefault="00462748" w:rsidP="00032BAE">
            <w:pPr>
              <w:pStyle w:val="CDIFigure-Table-BodyTextCentre"/>
              <w:keepNext/>
              <w:keepLines/>
            </w:pPr>
            <w:r w:rsidRPr="00E657B1">
              <w:t>94</w:t>
            </w:r>
          </w:p>
        </w:tc>
        <w:tc>
          <w:tcPr>
            <w:tcW w:w="1053" w:type="dxa"/>
            <w:shd w:val="clear" w:color="auto" w:fill="F2F2F2" w:themeFill="background1" w:themeFillShade="F2"/>
            <w:tcMar>
              <w:top w:w="113" w:type="dxa"/>
              <w:left w:w="113" w:type="dxa"/>
              <w:bottom w:w="113" w:type="dxa"/>
              <w:right w:w="113" w:type="dxa"/>
            </w:tcMar>
            <w:vAlign w:val="center"/>
          </w:tcPr>
          <w:p w14:paraId="7934FD8B" w14:textId="77777777" w:rsidR="00462748" w:rsidRPr="00E657B1" w:rsidRDefault="00462748" w:rsidP="00462748">
            <w:pPr>
              <w:pStyle w:val="CDIFigure-Table-BodyTextCentre"/>
              <w:keepNext/>
              <w:keepLines/>
            </w:pPr>
            <w:r w:rsidRPr="00E657B1">
              <w:t>79.0</w:t>
            </w:r>
          </w:p>
        </w:tc>
        <w:tc>
          <w:tcPr>
            <w:tcW w:w="1374" w:type="dxa"/>
            <w:shd w:val="clear" w:color="auto" w:fill="F2F2F2" w:themeFill="background1" w:themeFillShade="F2"/>
            <w:tcMar>
              <w:top w:w="113" w:type="dxa"/>
              <w:left w:w="113" w:type="dxa"/>
              <w:bottom w:w="113" w:type="dxa"/>
              <w:right w:w="113" w:type="dxa"/>
            </w:tcMar>
            <w:vAlign w:val="center"/>
          </w:tcPr>
          <w:p w14:paraId="00EFC5CB" w14:textId="77777777" w:rsidR="00462748" w:rsidRPr="00E657B1" w:rsidRDefault="00462748" w:rsidP="00032BAE">
            <w:pPr>
              <w:pStyle w:val="CDIFigure-Table-BodyTextCentre"/>
              <w:keepNext/>
              <w:keepLines/>
            </w:pPr>
            <w:r w:rsidRPr="00E657B1">
              <w:t>1.01</w:t>
            </w:r>
          </w:p>
        </w:tc>
        <w:tc>
          <w:tcPr>
            <w:tcW w:w="1374" w:type="dxa"/>
            <w:shd w:val="clear" w:color="auto" w:fill="F2F2F2" w:themeFill="background1" w:themeFillShade="F2"/>
            <w:tcMar>
              <w:top w:w="113" w:type="dxa"/>
              <w:left w:w="113" w:type="dxa"/>
              <w:bottom w:w="113" w:type="dxa"/>
              <w:right w:w="113" w:type="dxa"/>
            </w:tcMar>
            <w:vAlign w:val="center"/>
          </w:tcPr>
          <w:p w14:paraId="0983BFD0" w14:textId="77777777" w:rsidR="00462748" w:rsidRPr="00E657B1" w:rsidRDefault="00462748" w:rsidP="00032BAE">
            <w:pPr>
              <w:pStyle w:val="CDIFigure-Table-BodyTextCentre"/>
              <w:keepNext/>
              <w:keepLines/>
            </w:pPr>
            <w:r w:rsidRPr="00E657B1">
              <w:t>0.22–7.73</w:t>
            </w:r>
          </w:p>
        </w:tc>
        <w:tc>
          <w:tcPr>
            <w:tcW w:w="1375" w:type="dxa"/>
            <w:shd w:val="clear" w:color="auto" w:fill="F2F2F2" w:themeFill="background1" w:themeFillShade="F2"/>
            <w:tcMar>
              <w:top w:w="113" w:type="dxa"/>
              <w:left w:w="113" w:type="dxa"/>
              <w:bottom w:w="113" w:type="dxa"/>
              <w:right w:w="113" w:type="dxa"/>
            </w:tcMar>
            <w:vAlign w:val="center"/>
          </w:tcPr>
          <w:p w14:paraId="1E62317C" w14:textId="77777777" w:rsidR="00462748" w:rsidRPr="00E657B1" w:rsidRDefault="00462748" w:rsidP="00032BAE">
            <w:pPr>
              <w:pStyle w:val="CDIFigure-Table-BodyTextCentre"/>
              <w:keepNext/>
              <w:keepLines/>
            </w:pPr>
            <w:r w:rsidRPr="00E657B1">
              <w:t>1</w:t>
            </w:r>
          </w:p>
        </w:tc>
      </w:tr>
      <w:tr w:rsidR="00462748" w:rsidRPr="00E657B1" w14:paraId="551FE4A4" w14:textId="77777777" w:rsidTr="00462748">
        <w:trPr>
          <w:divId w:val="935526654"/>
          <w:trHeight w:val="20"/>
        </w:trPr>
        <w:tc>
          <w:tcPr>
            <w:tcW w:w="1701" w:type="dxa"/>
            <w:vMerge/>
            <w:tcBorders>
              <w:bottom w:val="single" w:sz="4" w:space="0" w:color="033636" w:themeColor="text2"/>
            </w:tcBorders>
            <w:shd w:val="clear" w:color="auto" w:fill="C5FFEF" w:themeFill="background2" w:themeFillTint="33"/>
          </w:tcPr>
          <w:p w14:paraId="02219B0B" w14:textId="77777777" w:rsidR="00462748" w:rsidRPr="00E657B1" w:rsidRDefault="00462748" w:rsidP="00032BAE">
            <w:pPr>
              <w:keepNext/>
              <w:keepLines/>
            </w:pPr>
          </w:p>
        </w:tc>
        <w:tc>
          <w:tcPr>
            <w:tcW w:w="4139" w:type="dxa"/>
            <w:tcBorders>
              <w:bottom w:val="single" w:sz="4" w:space="0" w:color="033636" w:themeColor="text2"/>
            </w:tcBorders>
            <w:tcMar>
              <w:top w:w="113" w:type="dxa"/>
              <w:left w:w="113" w:type="dxa"/>
              <w:bottom w:w="113" w:type="dxa"/>
              <w:right w:w="113" w:type="dxa"/>
            </w:tcMar>
            <w:vAlign w:val="center"/>
          </w:tcPr>
          <w:p w14:paraId="5E459729" w14:textId="77777777" w:rsidR="00462748" w:rsidRPr="00E657B1" w:rsidRDefault="00462748" w:rsidP="00032BAE">
            <w:pPr>
              <w:pStyle w:val="CDIFigure-Table-BodyTextLeft"/>
              <w:keepNext/>
              <w:keepLines/>
            </w:pPr>
            <w:r w:rsidRPr="00E657B1">
              <w:t>Camping</w:t>
            </w:r>
          </w:p>
        </w:tc>
        <w:tc>
          <w:tcPr>
            <w:tcW w:w="1053" w:type="dxa"/>
            <w:tcBorders>
              <w:bottom w:val="single" w:sz="4" w:space="0" w:color="033636" w:themeColor="text2"/>
            </w:tcBorders>
            <w:tcMar>
              <w:top w:w="113" w:type="dxa"/>
              <w:left w:w="113" w:type="dxa"/>
              <w:bottom w:w="113" w:type="dxa"/>
              <w:right w:w="113" w:type="dxa"/>
            </w:tcMar>
            <w:vAlign w:val="center"/>
          </w:tcPr>
          <w:p w14:paraId="2EC4F982" w14:textId="77777777" w:rsidR="00462748" w:rsidRPr="00E657B1" w:rsidRDefault="00462748" w:rsidP="00032BAE">
            <w:pPr>
              <w:pStyle w:val="CDIFigure-Table-BodyTextCentre"/>
              <w:keepNext/>
              <w:keepLines/>
            </w:pPr>
            <w:r w:rsidRPr="00E657B1">
              <w:t>1</w:t>
            </w:r>
          </w:p>
        </w:tc>
        <w:tc>
          <w:tcPr>
            <w:tcW w:w="1053" w:type="dxa"/>
            <w:tcBorders>
              <w:bottom w:val="single" w:sz="4" w:space="0" w:color="033636" w:themeColor="text2"/>
            </w:tcBorders>
            <w:tcMar>
              <w:top w:w="113" w:type="dxa"/>
              <w:left w:w="113" w:type="dxa"/>
              <w:bottom w:w="113" w:type="dxa"/>
              <w:right w:w="113" w:type="dxa"/>
            </w:tcMar>
            <w:vAlign w:val="center"/>
          </w:tcPr>
          <w:p w14:paraId="55A4B323" w14:textId="77777777" w:rsidR="00462748" w:rsidRPr="00E657B1" w:rsidRDefault="00462748" w:rsidP="00032BAE">
            <w:pPr>
              <w:pStyle w:val="CDIFigure-Table-BodyTextCentre"/>
              <w:keepNext/>
              <w:keepLines/>
            </w:pPr>
            <w:r w:rsidRPr="00E657B1">
              <w:t>10.0</w:t>
            </w:r>
          </w:p>
        </w:tc>
        <w:tc>
          <w:tcPr>
            <w:tcW w:w="1053" w:type="dxa"/>
            <w:tcBorders>
              <w:bottom w:val="single" w:sz="4" w:space="0" w:color="033636" w:themeColor="text2"/>
            </w:tcBorders>
            <w:tcMar>
              <w:top w:w="113" w:type="dxa"/>
              <w:left w:w="113" w:type="dxa"/>
              <w:bottom w:w="113" w:type="dxa"/>
              <w:right w:w="113" w:type="dxa"/>
            </w:tcMar>
            <w:vAlign w:val="center"/>
          </w:tcPr>
          <w:p w14:paraId="2A79276C" w14:textId="77777777" w:rsidR="00462748" w:rsidRPr="00E657B1" w:rsidRDefault="00462748" w:rsidP="00032BAE">
            <w:pPr>
              <w:pStyle w:val="CDIFigure-Table-BodyTextCentre"/>
              <w:keepNext/>
              <w:keepLines/>
            </w:pPr>
            <w:r w:rsidRPr="00E657B1">
              <w:t>40</w:t>
            </w:r>
          </w:p>
        </w:tc>
        <w:tc>
          <w:tcPr>
            <w:tcW w:w="1053" w:type="dxa"/>
            <w:tcBorders>
              <w:bottom w:val="single" w:sz="4" w:space="0" w:color="033636" w:themeColor="text2"/>
            </w:tcBorders>
            <w:tcMar>
              <w:top w:w="113" w:type="dxa"/>
              <w:left w:w="113" w:type="dxa"/>
              <w:bottom w:w="113" w:type="dxa"/>
              <w:right w:w="113" w:type="dxa"/>
            </w:tcMar>
            <w:vAlign w:val="center"/>
          </w:tcPr>
          <w:p w14:paraId="04EA2EAF" w14:textId="77777777" w:rsidR="00462748" w:rsidRPr="00E657B1" w:rsidRDefault="00462748" w:rsidP="00032BAE">
            <w:pPr>
              <w:pStyle w:val="CDIFigure-Table-BodyTextCentre"/>
              <w:keepNext/>
              <w:keepLines/>
            </w:pPr>
            <w:r w:rsidRPr="00E657B1">
              <w:t>33.6</w:t>
            </w:r>
          </w:p>
        </w:tc>
        <w:tc>
          <w:tcPr>
            <w:tcW w:w="1374" w:type="dxa"/>
            <w:tcBorders>
              <w:bottom w:val="single" w:sz="4" w:space="0" w:color="033636" w:themeColor="text2"/>
            </w:tcBorders>
            <w:tcMar>
              <w:top w:w="113" w:type="dxa"/>
              <w:left w:w="113" w:type="dxa"/>
              <w:bottom w:w="113" w:type="dxa"/>
              <w:right w:w="113" w:type="dxa"/>
            </w:tcMar>
            <w:vAlign w:val="center"/>
          </w:tcPr>
          <w:p w14:paraId="270D97E3" w14:textId="77777777" w:rsidR="00462748" w:rsidRPr="00E657B1" w:rsidRDefault="00462748" w:rsidP="00032BAE">
            <w:pPr>
              <w:pStyle w:val="CDIFigure-Table-BodyTextCentre"/>
              <w:keepNext/>
              <w:keepLines/>
            </w:pPr>
            <w:r w:rsidRPr="00E657B1">
              <w:t>0.24</w:t>
            </w:r>
          </w:p>
        </w:tc>
        <w:tc>
          <w:tcPr>
            <w:tcW w:w="1374" w:type="dxa"/>
            <w:tcBorders>
              <w:bottom w:val="single" w:sz="4" w:space="0" w:color="033636" w:themeColor="text2"/>
            </w:tcBorders>
            <w:tcMar>
              <w:top w:w="113" w:type="dxa"/>
              <w:left w:w="113" w:type="dxa"/>
              <w:bottom w:w="113" w:type="dxa"/>
              <w:right w:w="113" w:type="dxa"/>
            </w:tcMar>
            <w:vAlign w:val="center"/>
          </w:tcPr>
          <w:p w14:paraId="4F88AEAA" w14:textId="77777777" w:rsidR="00462748" w:rsidRPr="00E657B1" w:rsidRDefault="00462748" w:rsidP="00032BAE">
            <w:pPr>
              <w:pStyle w:val="CDIFigure-Table-BodyTextCentre"/>
              <w:keepNext/>
              <w:keepLines/>
            </w:pPr>
            <w:r w:rsidRPr="00E657B1">
              <w:t>0.01–1.42</w:t>
            </w:r>
          </w:p>
        </w:tc>
        <w:tc>
          <w:tcPr>
            <w:tcW w:w="1375" w:type="dxa"/>
            <w:tcBorders>
              <w:bottom w:val="single" w:sz="4" w:space="0" w:color="033636" w:themeColor="text2"/>
            </w:tcBorders>
            <w:tcMar>
              <w:top w:w="113" w:type="dxa"/>
              <w:left w:w="113" w:type="dxa"/>
              <w:bottom w:w="113" w:type="dxa"/>
              <w:right w:w="113" w:type="dxa"/>
            </w:tcMar>
            <w:vAlign w:val="center"/>
          </w:tcPr>
          <w:p w14:paraId="49A1895F" w14:textId="77777777" w:rsidR="00462748" w:rsidRPr="00E657B1" w:rsidRDefault="00462748" w:rsidP="00032BAE">
            <w:pPr>
              <w:pStyle w:val="CDIFigure-Table-BodyTextCentre"/>
              <w:keepNext/>
              <w:keepLines/>
            </w:pPr>
            <w:r w:rsidRPr="00E657B1">
              <w:t>0.17</w:t>
            </w:r>
          </w:p>
        </w:tc>
      </w:tr>
    </w:tbl>
    <w:p w14:paraId="66AC8FAA" w14:textId="77777777" w:rsidR="00462748" w:rsidRDefault="00462748" w:rsidP="00462748">
      <w:pPr>
        <w:pStyle w:val="CDITable-Firstfootnote"/>
        <w:divId w:val="935526654"/>
      </w:pPr>
      <w:r>
        <w:t>a</w:t>
      </w:r>
      <w:r>
        <w:tab/>
        <w:t>POR: prevalence odds ratio.</w:t>
      </w:r>
    </w:p>
    <w:p w14:paraId="05105343" w14:textId="77777777" w:rsidR="00462748" w:rsidRDefault="00462748" w:rsidP="00462748">
      <w:pPr>
        <w:pStyle w:val="CDITable-Footnote"/>
        <w:divId w:val="935526654"/>
      </w:pPr>
      <w:r>
        <w:t>b</w:t>
      </w:r>
      <w:r>
        <w:tab/>
        <w:t>95% CI: 95% confidence interval.</w:t>
      </w:r>
    </w:p>
    <w:p w14:paraId="24EB29A3" w14:textId="77777777" w:rsidR="00462748" w:rsidRDefault="00462748" w:rsidP="00462748">
      <w:pPr>
        <w:pStyle w:val="CDITable-Footnote"/>
        <w:divId w:val="935526654"/>
        <w:sectPr w:rsidR="00462748" w:rsidSect="00834644">
          <w:headerReference w:type="even" r:id="rId16"/>
          <w:headerReference w:type="default" r:id="rId17"/>
          <w:footerReference w:type="even" r:id="rId18"/>
          <w:footerReference w:type="default" r:id="rId19"/>
          <w:headerReference w:type="first" r:id="rId20"/>
          <w:footerReference w:type="first" r:id="rId21"/>
          <w:footnotePr>
            <w:numFmt w:val="lowerRoman"/>
          </w:footnotePr>
          <w:pgSz w:w="16840" w:h="11907" w:orient="landscape" w:code="9"/>
          <w:pgMar w:top="1134" w:right="1304" w:bottom="1134" w:left="1304" w:header="709" w:footer="567" w:gutter="0"/>
          <w:cols w:space="708"/>
          <w:docGrid w:linePitch="360"/>
        </w:sectPr>
      </w:pPr>
      <w:r>
        <w:t>c</w:t>
      </w:r>
      <w:r>
        <w:tab/>
        <w:t>Excludes people who live on a farm.</w:t>
      </w:r>
    </w:p>
    <w:p w14:paraId="5814B28E" w14:textId="77777777" w:rsidR="008A0736" w:rsidRDefault="008A0736" w:rsidP="00462748">
      <w:pPr>
        <w:pStyle w:val="Heading1-nospacebefore"/>
        <w:divId w:val="935526654"/>
      </w:pPr>
      <w:r w:rsidRPr="00702D05">
        <w:lastRenderedPageBreak/>
        <w:t>Discussion</w:t>
      </w:r>
    </w:p>
    <w:p w14:paraId="56ACF643" w14:textId="77777777" w:rsidR="00462748" w:rsidRPr="00350810" w:rsidRDefault="00462748" w:rsidP="00462748">
      <w:pPr>
        <w:divId w:val="935526654"/>
        <w:rPr>
          <w:lang w:val="en-GB"/>
        </w:rPr>
      </w:pPr>
      <w:r w:rsidRPr="00350810">
        <w:rPr>
          <w:lang w:val="en-GB"/>
        </w:rPr>
        <w:t>Although JEV transmission is well-established throughout South-East Asia, widespread transmission of JEV is not known to have occurred in mainland Australia before 2021/2022.</w:t>
      </w:r>
      <w:r w:rsidRPr="00350810">
        <w:rPr>
          <w:vertAlign w:val="superscript"/>
          <w:lang w:val="en-GB"/>
        </w:rPr>
        <w:t>31</w:t>
      </w:r>
      <w:r w:rsidRPr="00350810">
        <w:rPr>
          <w:lang w:val="en-GB"/>
        </w:rPr>
        <w:t xml:space="preserve"> The detection of JEV at commercial pig farms in the Murray region of New South Wales in February 2022 was of public health concern, given that the presumably naïve population was likely highly susceptible to infection and to associated morbidity and mortality. NSW Health’s rapid PHI among piggery workers and residents in the Murray region achieved a 96.6% JEV vaccination rate among farm staff and/or residents who attended. </w:t>
      </w:r>
    </w:p>
    <w:p w14:paraId="4470416E" w14:textId="77777777" w:rsidR="00462748" w:rsidRPr="00350810" w:rsidRDefault="00462748" w:rsidP="00462748">
      <w:pPr>
        <w:divId w:val="935526654"/>
        <w:rPr>
          <w:lang w:val="en-GB"/>
        </w:rPr>
      </w:pPr>
      <w:r w:rsidRPr="00350810">
        <w:rPr>
          <w:lang w:val="en-GB"/>
        </w:rPr>
        <w:t xml:space="preserve">The seropositivity rate was 6.5% among Australian-born workers and/or residents at the piggeries with JEV detections, in a sub-population with no previous known JEV or yellow fever vaccination and no overseas travel, suggesting circulation of JEV within the Murray region. While there is no evidence that participants had previous exposure to JEV, this study was unable to confirm the </w:t>
      </w:r>
      <w:proofErr w:type="spellStart"/>
      <w:r w:rsidRPr="00350810">
        <w:rPr>
          <w:lang w:val="en-GB"/>
        </w:rPr>
        <w:t>naïvety</w:t>
      </w:r>
      <w:proofErr w:type="spellEnd"/>
      <w:r w:rsidRPr="00350810">
        <w:rPr>
          <w:lang w:val="en-GB"/>
        </w:rPr>
        <w:t xml:space="preserve"> of participants prior to the detection of JEV in pigs in February 2022, nor was the timing of seroconversion able to be ascertained. It cannot be confirmed that JEV infection was acquired in the Murray region after February 2022, though it is a plausible explanation for the results. </w:t>
      </w:r>
    </w:p>
    <w:p w14:paraId="218AF1AE" w14:textId="77777777" w:rsidR="00462748" w:rsidRPr="00350810" w:rsidRDefault="00462748" w:rsidP="00462748">
      <w:pPr>
        <w:divId w:val="935526654"/>
        <w:rPr>
          <w:lang w:val="en-GB"/>
        </w:rPr>
      </w:pPr>
      <w:r w:rsidRPr="00350810">
        <w:rPr>
          <w:lang w:val="en-GB"/>
        </w:rPr>
        <w:t>After the initial JEV detections, other humans, mosquitoes and sentinel chickens</w:t>
      </w:r>
      <w:r w:rsidRPr="00350810">
        <w:rPr>
          <w:vertAlign w:val="superscript"/>
          <w:lang w:val="en-GB"/>
        </w:rPr>
        <w:t>31</w:t>
      </w:r>
      <w:r w:rsidRPr="00350810">
        <w:rPr>
          <w:lang w:val="en-GB"/>
        </w:rPr>
        <w:t xml:space="preserve"> within the Murrumbidgee Local Health District (MLHD) were found to be infected. By 5 May 2022, pigs in 70 piggeries across four states had JEV detections.</w:t>
      </w:r>
      <w:r w:rsidRPr="00350810">
        <w:rPr>
          <w:vertAlign w:val="superscript"/>
          <w:lang w:val="en-GB"/>
        </w:rPr>
        <w:t>32</w:t>
      </w:r>
      <w:r w:rsidRPr="00350810">
        <w:rPr>
          <w:lang w:val="en-GB"/>
        </w:rPr>
        <w:t xml:space="preserve"> A study by Baruah et al (2018)</w:t>
      </w:r>
      <w:r w:rsidRPr="00350810">
        <w:rPr>
          <w:vertAlign w:val="superscript"/>
          <w:lang w:val="en-GB"/>
        </w:rPr>
        <w:t>33</w:t>
      </w:r>
      <w:r w:rsidRPr="00350810">
        <w:rPr>
          <w:lang w:val="en-GB"/>
        </w:rPr>
        <w:t xml:space="preserve"> demonstrated the seasonal correlation between mosquito abundance, JEV pig seroconversion and JEV human outbreaks. This study suggests that monitoring of pig seroconversion, along with monitoring of the abundance of JEV carrying mosquitoes, can assist in the prediction of human infections.</w:t>
      </w:r>
      <w:r w:rsidRPr="00350810">
        <w:rPr>
          <w:vertAlign w:val="superscript"/>
          <w:lang w:val="en-GB"/>
        </w:rPr>
        <w:t>33</w:t>
      </w:r>
    </w:p>
    <w:p w14:paraId="6A665615" w14:textId="77777777" w:rsidR="00462748" w:rsidRPr="00350810" w:rsidRDefault="00462748" w:rsidP="00462748">
      <w:pPr>
        <w:divId w:val="935526654"/>
        <w:rPr>
          <w:lang w:val="en-GB"/>
        </w:rPr>
      </w:pPr>
      <w:r w:rsidRPr="00350810">
        <w:rPr>
          <w:lang w:val="en-GB"/>
        </w:rPr>
        <w:t>While it is plausible that human JEV infection was acquired on piggeries with JEV infected pigs, it is possible that workers were exposed to JEV in their non-work, local environment, as it is likely that infected mosquitoes were in non-occupational locations. A subsequent serosurvey across New South Wales showed a crude seropositivity of 8.7% among 917 sampled volunteers in towns where human JEV cases had not been detected in the 2021–2022 mosquito season,</w:t>
      </w:r>
      <w:r w:rsidRPr="00350810">
        <w:rPr>
          <w:vertAlign w:val="superscript"/>
          <w:lang w:val="en-GB"/>
        </w:rPr>
        <w:t>32</w:t>
      </w:r>
      <w:r w:rsidRPr="00350810">
        <w:rPr>
          <w:lang w:val="en-GB"/>
        </w:rPr>
        <w:t xml:space="preserve"> suggesting circulation of JEV in non-occupational settings. This compares with the overall observed 10.3% seropositivity in this investigation among all participants (regardless of country of birth or vaccination history). </w:t>
      </w:r>
    </w:p>
    <w:p w14:paraId="73015478" w14:textId="77777777" w:rsidR="00462748" w:rsidRPr="00350810" w:rsidRDefault="00462748" w:rsidP="00462748">
      <w:pPr>
        <w:divId w:val="935526654"/>
        <w:rPr>
          <w:lang w:val="en-GB"/>
        </w:rPr>
      </w:pPr>
      <w:r w:rsidRPr="00350810">
        <w:rPr>
          <w:lang w:val="en-GB"/>
        </w:rPr>
        <w:t>Cases were unable to be randomly selected for the serological or cross-sectional components, and participants voluntarily gave blood for serological testing, which may have created a bias towards people, for example, more compliant with health advice and initiatives, including occupational mosquito prevention measures. The convenience sample is an under-representation of the broad population of piggery workers, as we only looked at those who attended the NSW-Health-organised clinics. The representativeness of this participating cohort with the entire piggery population is unknown. As this study involved workers, there is an increased risk of volunteer bias and the healthy worker effect,</w:t>
      </w:r>
      <w:r w:rsidRPr="00350810">
        <w:rPr>
          <w:vertAlign w:val="superscript"/>
          <w:lang w:val="en-GB"/>
        </w:rPr>
        <w:t>34</w:t>
      </w:r>
      <w:r w:rsidRPr="00350810">
        <w:rPr>
          <w:lang w:val="en-GB"/>
        </w:rPr>
        <w:t xml:space="preserve"> which may have influenced the type of people who participated, which may not be a true representation of the general Murray population.</w:t>
      </w:r>
    </w:p>
    <w:p w14:paraId="15126E91" w14:textId="77777777" w:rsidR="00462748" w:rsidRPr="00350810" w:rsidRDefault="00462748" w:rsidP="00462748">
      <w:pPr>
        <w:divId w:val="935526654"/>
        <w:rPr>
          <w:lang w:val="en-GB"/>
        </w:rPr>
      </w:pPr>
      <w:r w:rsidRPr="00350810">
        <w:rPr>
          <w:lang w:val="en-GB"/>
        </w:rPr>
        <w:t xml:space="preserve">Risk exposures associated with JEV seropositivity, for previously unvaccinated Australian-born piggery workers without travel to JEV-endemic countries, were explored through a cross-sectional study. While no risk exposures were statistically associated with JEV seropositivity, the highest prevalence odds ratios for seropositivity were for being male (POR = 5.4) and for working on or visiting a farm other than a workplace piggery between December 2021 and March 2022 (POR = 3.7). This is a small observational study with only </w:t>
      </w:r>
      <w:r w:rsidRPr="00350810">
        <w:rPr>
          <w:lang w:val="en-GB"/>
        </w:rPr>
        <w:lastRenderedPageBreak/>
        <w:t>one seropositive female participant so caution should be exercised when drawing conclusions about the differences between sexes. Results may have been affected by recall bias and potential misclassification of exposure status, as questionnaires were administered up to three months after the exposure period. There was a lack of specificity around exposure risk factors due to the potentially ubiquitous exposure to mosquitoes and the long period of interest.</w:t>
      </w:r>
    </w:p>
    <w:p w14:paraId="7F286499" w14:textId="77777777" w:rsidR="00462748" w:rsidRPr="00350810" w:rsidRDefault="00462748" w:rsidP="00462748">
      <w:pPr>
        <w:divId w:val="935526654"/>
        <w:rPr>
          <w:lang w:val="en-GB"/>
        </w:rPr>
      </w:pPr>
      <w:r w:rsidRPr="00350810">
        <w:rPr>
          <w:lang w:val="en-GB"/>
        </w:rPr>
        <w:t>The cross-reactivity of human flaviviruses can lead to inconclusive results.</w:t>
      </w:r>
      <w:r w:rsidRPr="00350810">
        <w:rPr>
          <w:vertAlign w:val="superscript"/>
          <w:lang w:val="en-GB"/>
        </w:rPr>
        <w:t>36</w:t>
      </w:r>
      <w:r w:rsidRPr="00350810">
        <w:rPr>
          <w:lang w:val="en-GB"/>
        </w:rPr>
        <w:t xml:space="preserve"> The effect of this cross-reactivity on a study can be dependent on the biological assays utilised for diagnosis and on the level of exposure, within a population, to other co-circulating flaviviruses.</w:t>
      </w:r>
      <w:r w:rsidRPr="00350810">
        <w:rPr>
          <w:vertAlign w:val="superscript"/>
          <w:lang w:val="en-GB"/>
        </w:rPr>
        <w:t>37</w:t>
      </w:r>
      <w:r w:rsidRPr="00350810">
        <w:rPr>
          <w:lang w:val="en-GB"/>
        </w:rPr>
        <w:t xml:space="preserve"> Knowledge of study participants’ prior flavivirus exposure and vaccination history, and knowledge of local disease epidemiology, can thus both assist in further understanding the possible effects of flavivirus cross-reactivity on a study.</w:t>
      </w:r>
      <w:r w:rsidRPr="00350810">
        <w:rPr>
          <w:vertAlign w:val="superscript"/>
          <w:lang w:val="en-GB"/>
        </w:rPr>
        <w:t>38</w:t>
      </w:r>
      <w:r w:rsidRPr="00350810">
        <w:rPr>
          <w:lang w:val="en-GB"/>
        </w:rPr>
        <w:t xml:space="preserve"> Such considerations are particularly important in locations where multiple antigenic flaviviruses can co-circulate: the more flavivirus infections a person has been exposed to, the lower the specificity of the results.</w:t>
      </w:r>
      <w:r w:rsidRPr="00350810">
        <w:rPr>
          <w:vertAlign w:val="superscript"/>
          <w:lang w:val="en-GB"/>
        </w:rPr>
        <w:t>39</w:t>
      </w:r>
      <w:r w:rsidRPr="00350810">
        <w:rPr>
          <w:lang w:val="en-GB"/>
        </w:rPr>
        <w:t xml:space="preserve"> There are limitations in the serological assays currently available for use: there has been no development of individualised tests for each flavivirus. However, the use of in-house ELISAs can confirm unvalidated serological data or when no licensed kits for specific flaviviruses are yet available, and the neutralisation IFA can allow for distinction between flaviviruses.</w:t>
      </w:r>
      <w:r w:rsidRPr="00350810">
        <w:rPr>
          <w:vertAlign w:val="superscript"/>
          <w:lang w:val="en-GB"/>
        </w:rPr>
        <w:t>35</w:t>
      </w:r>
      <w:r w:rsidRPr="00350810">
        <w:rPr>
          <w:lang w:val="en-GB"/>
        </w:rPr>
        <w:t xml:space="preserve"> A 2019 study by </w:t>
      </w:r>
      <w:proofErr w:type="spellStart"/>
      <w:r w:rsidRPr="00350810">
        <w:rPr>
          <w:lang w:val="en-GB"/>
        </w:rPr>
        <w:t>Maeki</w:t>
      </w:r>
      <w:proofErr w:type="spellEnd"/>
      <w:r w:rsidRPr="00350810">
        <w:rPr>
          <w:lang w:val="en-GB"/>
        </w:rPr>
        <w:t xml:space="preserve"> et al.</w:t>
      </w:r>
      <w:r w:rsidRPr="00350810">
        <w:rPr>
          <w:vertAlign w:val="superscript"/>
          <w:lang w:val="en-GB"/>
        </w:rPr>
        <w:t>36</w:t>
      </w:r>
      <w:r w:rsidRPr="00350810">
        <w:rPr>
          <w:lang w:val="en-GB"/>
        </w:rPr>
        <w:t xml:space="preserve"> demonstrated the cross-reactivity of JEV sera with other flaviviruses; neutralisation testing among flaviviruses was shown to be more specific in diagnosing JEV than was the use of ELISA.</w:t>
      </w:r>
      <w:r w:rsidRPr="00350810">
        <w:rPr>
          <w:vertAlign w:val="superscript"/>
          <w:lang w:val="en-GB"/>
        </w:rPr>
        <w:t>36</w:t>
      </w:r>
    </w:p>
    <w:p w14:paraId="4BA83D10" w14:textId="77777777" w:rsidR="00462748" w:rsidRPr="00350810" w:rsidRDefault="00462748" w:rsidP="00462748">
      <w:pPr>
        <w:divId w:val="935526654"/>
        <w:rPr>
          <w:lang w:val="en-GB"/>
        </w:rPr>
      </w:pPr>
      <w:r w:rsidRPr="00350810">
        <w:rPr>
          <w:lang w:val="en-GB"/>
        </w:rPr>
        <w:t>Assessing 95% confidence intervals indicated that the cross-sectional study participants were representative of those who completed a clinic questionnaire. As stated above, no risk exposures met the study’s criterion for statistical significance at p ≤ 0.05. As a study with small numbers, it is reasonable to expect wider confidence intervals and weaker significance in associations due to the cross-sectional study’s limited statistical power. However, despite these limitations, the study holds value as an initial investigation into an emerging disease in a presumably naïve population. The findings and conclusions drawn in the paper are reasonable, given the operational nature of the PHI. The cross-sectional design of this study provides weak evidence between the piggery farm exposures and the outcome of JEV; we cannot be certain whether exposure at a piggery farm preceded the detection of JEV.</w:t>
      </w:r>
    </w:p>
    <w:p w14:paraId="103B75D8" w14:textId="77777777" w:rsidR="00462748" w:rsidRPr="00350810" w:rsidRDefault="00462748" w:rsidP="00462748">
      <w:pPr>
        <w:divId w:val="935526654"/>
        <w:rPr>
          <w:lang w:val="en-GB"/>
        </w:rPr>
      </w:pPr>
      <w:r w:rsidRPr="00350810">
        <w:rPr>
          <w:lang w:val="en-GB"/>
        </w:rPr>
        <w:t>The relationship between occupation and exposure is unclear and warrants further exploration. As outlined by Yakob,</w:t>
      </w:r>
      <w:r w:rsidRPr="00350810">
        <w:rPr>
          <w:vertAlign w:val="superscript"/>
          <w:lang w:val="en-GB"/>
        </w:rPr>
        <w:t>40</w:t>
      </w:r>
      <w:r w:rsidRPr="00350810">
        <w:rPr>
          <w:lang w:val="en-GB"/>
        </w:rPr>
        <w:t xml:space="preserve"> reported Australian human cases to date do not appear to be associated with an occupational hazard, suggesting that it is exposure to mosquitoes, rather than to infected pigs, that dictates the current risk. Although suggestive, our study was unable to determine if JEV exposure was more likely to occur at work or at other non-work activities in the community or at farm sites (including residences). Workers on larger commercial farms with robust biosecurity may have less exposure to JEV-infected mosquitoes compared to workers on smaller farms with little or no mosquito control; farm workers may also engage in protective behaviours (such as wearing of protective clothing and use of mosquito repellent) to a greater or lesser extent than other members of the community.</w:t>
      </w:r>
      <w:r>
        <w:rPr>
          <w:lang w:val="en-GB"/>
        </w:rPr>
        <w:t xml:space="preserve"> </w:t>
      </w:r>
      <w:r w:rsidRPr="00350810">
        <w:rPr>
          <w:lang w:val="en-GB"/>
        </w:rPr>
        <w:t>Further investigation into the behaviours and environments associated with JEV seropositivity should be conducted using larger populations and adequately powered investigations to better understand JEV exposure in the Australian context.</w:t>
      </w:r>
    </w:p>
    <w:p w14:paraId="54248994" w14:textId="77777777" w:rsidR="00462748" w:rsidRPr="00350810" w:rsidRDefault="00462748" w:rsidP="00462748">
      <w:pPr>
        <w:divId w:val="935526654"/>
        <w:rPr>
          <w:lang w:val="en-GB"/>
        </w:rPr>
      </w:pPr>
      <w:r w:rsidRPr="00350810">
        <w:rPr>
          <w:lang w:val="en-GB"/>
        </w:rPr>
        <w:t>In this context, a study by Ren et al. (2017)</w:t>
      </w:r>
      <w:r w:rsidRPr="00350810">
        <w:rPr>
          <w:vertAlign w:val="superscript"/>
          <w:lang w:val="en-GB"/>
        </w:rPr>
        <w:t>41</w:t>
      </w:r>
      <w:r w:rsidRPr="00350810">
        <w:rPr>
          <w:lang w:val="en-GB"/>
        </w:rPr>
        <w:t xml:space="preserve"> suggests that commercial piggeries in China, which are equipped with rigorous security measures and equipment, have a reduced risk of JEV infection among the workers. Ren et al.</w:t>
      </w:r>
      <w:r w:rsidRPr="00350810">
        <w:rPr>
          <w:vertAlign w:val="superscript"/>
          <w:lang w:val="en-GB"/>
        </w:rPr>
        <w:t>41</w:t>
      </w:r>
      <w:r w:rsidRPr="00350810">
        <w:rPr>
          <w:lang w:val="en-GB"/>
        </w:rPr>
        <w:t xml:space="preserve"> recommended that pigs should be in pig farms far away from dwellings, and farmers should cease working with pigs or pig farming in places of residence, to reduce the risk of JEV infection. A 2010 study by Liu et al.</w:t>
      </w:r>
      <w:r w:rsidRPr="00350810">
        <w:rPr>
          <w:vertAlign w:val="superscript"/>
          <w:lang w:val="en-GB"/>
        </w:rPr>
        <w:t>42</w:t>
      </w:r>
      <w:r w:rsidRPr="00350810">
        <w:rPr>
          <w:lang w:val="en-GB"/>
        </w:rPr>
        <w:t xml:space="preserve"> looked at the risk factors associated with JEV in Bali Indonesia, which found the </w:t>
      </w:r>
      <w:r w:rsidRPr="00350810">
        <w:rPr>
          <w:lang w:val="en-GB"/>
        </w:rPr>
        <w:lastRenderedPageBreak/>
        <w:t xml:space="preserve">proximity to rice fields, and pig ownership (either by family or next door), to be independently associated with JEV. Although the risk is increased, the direct connection between pigs as the sole cause of infection remains unknown. Pigs are known as amplifying hosts for JEV; however, there is limited evidence to suggest that the infection of JEV within the Murray is directly linked with commercial piggeries. </w:t>
      </w:r>
    </w:p>
    <w:p w14:paraId="18BECFC1" w14:textId="77777777" w:rsidR="00462748" w:rsidRPr="00350810" w:rsidRDefault="00462748" w:rsidP="00462748">
      <w:pPr>
        <w:divId w:val="935526654"/>
        <w:rPr>
          <w:lang w:val="en-GB"/>
        </w:rPr>
      </w:pPr>
      <w:r w:rsidRPr="00350810">
        <w:rPr>
          <w:lang w:val="en-GB"/>
        </w:rPr>
        <w:t>As recently outlined by Howard-Jones et al.,</w:t>
      </w:r>
      <w:r w:rsidRPr="00350810">
        <w:rPr>
          <w:vertAlign w:val="superscript"/>
          <w:lang w:val="en-GB"/>
        </w:rPr>
        <w:t>31</w:t>
      </w:r>
      <w:r w:rsidRPr="00350810">
        <w:rPr>
          <w:lang w:val="en-GB"/>
        </w:rPr>
        <w:t xml:space="preserve"> understanding of JEV seroprevalence and the incidence of mild or non-encephalitic disease in Australia is lacking, and ongoing iterative serosurveys in humans are essential to further characterise the prevalence and distribution of JEV infection in Australia in the coming years. Ideally, these should encompass targeted testing of ‘high-risk’ regions and populations, such as repeating this survey among the broader piggery worker population in the Murray region as well as in the Australian population at large, to gain an understanding of JEV incidence. This is particularly important as, given the geographical extent of virus activity and evidence the virus was present prior to the widespread 2021–2022 outbreak, it is unlikely that elimination of JEV from mainland Australia is possible.</w:t>
      </w:r>
      <w:r w:rsidRPr="00350810">
        <w:rPr>
          <w:vertAlign w:val="superscript"/>
          <w:lang w:val="en-GB"/>
        </w:rPr>
        <w:t>32</w:t>
      </w:r>
      <w:r w:rsidRPr="00350810">
        <w:rPr>
          <w:lang w:val="en-GB"/>
        </w:rPr>
        <w:t xml:space="preserve"> </w:t>
      </w:r>
    </w:p>
    <w:p w14:paraId="6B34E28C" w14:textId="77777777" w:rsidR="00462748" w:rsidRPr="00350810" w:rsidRDefault="00462748" w:rsidP="00462748">
      <w:pPr>
        <w:divId w:val="935526654"/>
        <w:rPr>
          <w:lang w:val="en-GB"/>
        </w:rPr>
      </w:pPr>
      <w:r w:rsidRPr="00350810">
        <w:rPr>
          <w:lang w:val="en-GB"/>
        </w:rPr>
        <w:t xml:space="preserve">A variety of factors may have contributed to the recent expansion of JEV in Australia. The presence of multiple consecutive years of La Nina weather events, resulting in very high rainfall during the Australian summer, created new temporary wetlands; this may have impacted the movement and distribution of JEV-infected wading birds dispersing from the north of the country, as well as creating optimal habitats for the proliferation of </w:t>
      </w:r>
      <w:r w:rsidRPr="00350810">
        <w:rPr>
          <w:i/>
          <w:iCs/>
          <w:lang w:val="en-GB"/>
        </w:rPr>
        <w:t>Culex annulirostris</w:t>
      </w:r>
      <w:r w:rsidRPr="00350810">
        <w:rPr>
          <w:lang w:val="en-GB"/>
        </w:rPr>
        <w:t xml:space="preserve"> mosquitoes.</w:t>
      </w:r>
      <w:r w:rsidRPr="00350810">
        <w:rPr>
          <w:vertAlign w:val="superscript"/>
          <w:lang w:val="en-GB"/>
        </w:rPr>
        <w:t>43</w:t>
      </w:r>
      <w:r w:rsidRPr="00350810">
        <w:rPr>
          <w:lang w:val="en-GB"/>
        </w:rPr>
        <w:t xml:space="preserve"> The spread may have been aided by intensive pig farming and a large feral pig population.</w:t>
      </w:r>
      <w:r w:rsidRPr="00350810">
        <w:rPr>
          <w:vertAlign w:val="superscript"/>
          <w:lang w:val="en-GB"/>
        </w:rPr>
        <w:t>40</w:t>
      </w:r>
      <w:r>
        <w:rPr>
          <w:lang w:val="en-GB"/>
        </w:rPr>
        <w:t xml:space="preserve"> </w:t>
      </w:r>
      <w:r w:rsidRPr="00350810">
        <w:rPr>
          <w:lang w:val="en-GB"/>
        </w:rPr>
        <w:t>In light of the new establishment of disease and a naïve population, serosurveys will be critical to identify risk factors for infection and to guide implementation of management strategies such as vaccination, changes in animal husbandry, and mosquito control,</w:t>
      </w:r>
      <w:r w:rsidRPr="00350810">
        <w:rPr>
          <w:vertAlign w:val="superscript"/>
          <w:lang w:val="en-GB"/>
        </w:rPr>
        <w:t>32</w:t>
      </w:r>
      <w:r w:rsidRPr="00350810">
        <w:rPr>
          <w:lang w:val="en-GB"/>
        </w:rPr>
        <w:t xml:space="preserve"> particularly as a warming climate and future extreme flood events may intensify transmission and may increase the frequency and severity of outbreaks. </w:t>
      </w:r>
    </w:p>
    <w:p w14:paraId="66E400FB" w14:textId="77777777" w:rsidR="00462748" w:rsidRPr="00350810" w:rsidRDefault="00462748" w:rsidP="00462748">
      <w:pPr>
        <w:divId w:val="935526654"/>
        <w:rPr>
          <w:lang w:val="en-GB"/>
        </w:rPr>
      </w:pPr>
      <w:r w:rsidRPr="00350810">
        <w:rPr>
          <w:lang w:val="en-GB"/>
        </w:rPr>
        <w:t>This serological investigation demonstrated that a presumably naïve population had a JEV antibody prevalence of 6.5%, indicating likely transmission of JEV in the summer of 2021–2022 in the Murray region. It shows, at a minimum, that those who work in the initially identified piggeries in parts of the Murray region were at risk of JEV. Although specific risks associated with seropositivity were not identified, prevention strategies against mosquito bites, including JEV vaccination, should be developed and communicated widely across at-risk occupations and geographical areas. The prevalence of JEV among Australian-born participants and characteristics were also explored through additional opportunistic study components. Vaccination is known as the most effective way to prevent and reduce the burden of JEV for humans and has been known to be a great public health success, particularly in endemic countries.</w:t>
      </w:r>
      <w:r w:rsidRPr="00350810">
        <w:rPr>
          <w:vertAlign w:val="superscript"/>
          <w:lang w:val="en-GB"/>
        </w:rPr>
        <w:t>18</w:t>
      </w:r>
      <w:r w:rsidRPr="00350810">
        <w:rPr>
          <w:lang w:val="en-GB"/>
        </w:rPr>
        <w:t xml:space="preserve"> This study aimed to urgently vaccinate the workers and residents of the affected piggeries, achieving 96.6% vaccine coverage among those who attended the NSW-Health-organised clinics.</w:t>
      </w:r>
    </w:p>
    <w:p w14:paraId="54067B38" w14:textId="77777777" w:rsidR="00462748" w:rsidRPr="00350810" w:rsidRDefault="00462748" w:rsidP="00462748">
      <w:pPr>
        <w:divId w:val="935526654"/>
        <w:rPr>
          <w:lang w:val="en-GB"/>
        </w:rPr>
      </w:pPr>
      <w:r w:rsidRPr="00350810">
        <w:rPr>
          <w:lang w:val="en-GB"/>
        </w:rPr>
        <w:t xml:space="preserve">Ongoing surveillance of potential vectors and hosts such as pigs and birds, including also humans, is required to determine whether affected populations change in coming seasons and whether JEV will become endemic in southern mainland Australia. </w:t>
      </w:r>
    </w:p>
    <w:p w14:paraId="17B1EB9D" w14:textId="77777777" w:rsidR="00462748" w:rsidRPr="00350810" w:rsidRDefault="00462748" w:rsidP="00462748">
      <w:pPr>
        <w:divId w:val="935526654"/>
        <w:rPr>
          <w:lang w:val="en-GB"/>
        </w:rPr>
      </w:pPr>
      <w:r w:rsidRPr="00350810">
        <w:rPr>
          <w:lang w:val="en-GB"/>
        </w:rPr>
        <w:t>Overall, this exploratory study serves as an important stepping-stone for future research and meta-analyses to further understand the particular risk factors associated with JEV among individuals working on or residing on or near piggeries.</w:t>
      </w:r>
    </w:p>
    <w:p w14:paraId="1FA89877" w14:textId="77777777" w:rsidR="00462748" w:rsidRPr="00702D05" w:rsidRDefault="00462748" w:rsidP="00E315AB">
      <w:pPr>
        <w:pStyle w:val="Heading1"/>
        <w:divId w:val="935526654"/>
        <w:rPr>
          <w:lang w:val="en-GB"/>
        </w:rPr>
      </w:pPr>
      <w:r>
        <w:rPr>
          <w:lang w:val="en-GB"/>
        </w:rPr>
        <w:lastRenderedPageBreak/>
        <w:t>Acknowledgments</w:t>
      </w:r>
    </w:p>
    <w:p w14:paraId="21EDCA13" w14:textId="77777777" w:rsidR="00462748" w:rsidRPr="00350810" w:rsidRDefault="00462748" w:rsidP="00462748">
      <w:pPr>
        <w:divId w:val="935526654"/>
        <w:rPr>
          <w:lang w:val="en-GB"/>
        </w:rPr>
      </w:pPr>
      <w:r w:rsidRPr="00350810">
        <w:rPr>
          <w:lang w:val="en-GB"/>
        </w:rPr>
        <w:t>This work was completed while Gamuchirai M Shava was employed as a trainee on the Public Health Training Program (PHTP) funded by NSW Health Ministry of Health. She undertook this work while based at the Murrumbidgee and Southern New South Wales Local Health District Public Health Unit.</w:t>
      </w:r>
    </w:p>
    <w:p w14:paraId="3A6E0143" w14:textId="77777777" w:rsidR="00462748" w:rsidRPr="00350810" w:rsidRDefault="00462748" w:rsidP="00462748">
      <w:pPr>
        <w:divId w:val="935526654"/>
        <w:rPr>
          <w:lang w:val="en-GB"/>
        </w:rPr>
      </w:pPr>
      <w:r w:rsidRPr="00350810">
        <w:rPr>
          <w:lang w:val="en-GB"/>
        </w:rPr>
        <w:t xml:space="preserve">The authors would like to acknowledge and thank the team from the NSW Health Ministry of Health for the support during this initial response to an emerging disease. We would like to acknowledge the work of Jennifer Case, Jenni Musto, Chloe Luscombe and Adriana </w:t>
      </w:r>
      <w:proofErr w:type="spellStart"/>
      <w:r w:rsidRPr="00350810">
        <w:rPr>
          <w:lang w:val="en-GB"/>
        </w:rPr>
        <w:t>Notaras</w:t>
      </w:r>
      <w:proofErr w:type="spellEnd"/>
      <w:r w:rsidRPr="00350810">
        <w:rPr>
          <w:lang w:val="en-GB"/>
        </w:rPr>
        <w:t xml:space="preserve"> for their support and efforts through this response. The authors would also like to thank the Infectious Disease Team at the Murrumbidgee and Southern New South Wales Local Health District Public Health Unit for their tireless support and work during this response. We would like to acknowledge the work of the laboratory team at the Institute of Clinical Pathology and Medical Research (ICPMR) for their assistance with the screening of the participants and the laboratory interpretations.</w:t>
      </w:r>
    </w:p>
    <w:p w14:paraId="4E340360" w14:textId="77777777" w:rsidR="008A0736" w:rsidRDefault="008A0736" w:rsidP="008A0736">
      <w:pPr>
        <w:pStyle w:val="Heading1"/>
        <w:divId w:val="935526654"/>
      </w:pPr>
      <w:r>
        <w:t>Author details</w:t>
      </w:r>
    </w:p>
    <w:p w14:paraId="7EB4AEA9" w14:textId="77777777" w:rsidR="00462748" w:rsidRDefault="00462748" w:rsidP="00462748">
      <w:pPr>
        <w:divId w:val="935526654"/>
      </w:pPr>
      <w:r>
        <w:t>Miss Gamuchirai M Shava</w:t>
      </w:r>
      <w:r w:rsidRPr="00350810">
        <w:rPr>
          <w:vertAlign w:val="superscript"/>
        </w:rPr>
        <w:t>1,2</w:t>
      </w:r>
    </w:p>
    <w:p w14:paraId="749D74B0" w14:textId="77777777" w:rsidR="00462748" w:rsidRDefault="00462748" w:rsidP="0056345B">
      <w:pPr>
        <w:pStyle w:val="Normal-nospace"/>
        <w:divId w:val="935526654"/>
      </w:pPr>
      <w:r>
        <w:t>Dr Katherine Todd</w:t>
      </w:r>
      <w:r w:rsidRPr="00350810">
        <w:rPr>
          <w:vertAlign w:val="superscript"/>
        </w:rPr>
        <w:t>3</w:t>
      </w:r>
    </w:p>
    <w:p w14:paraId="57928856" w14:textId="77777777" w:rsidR="00462748" w:rsidRDefault="00462748" w:rsidP="0056345B">
      <w:pPr>
        <w:pStyle w:val="Normal-nospace"/>
        <w:divId w:val="935526654"/>
      </w:pPr>
      <w:r>
        <w:t>Ms Tracey Oakman</w:t>
      </w:r>
      <w:r w:rsidRPr="00350810">
        <w:rPr>
          <w:vertAlign w:val="superscript"/>
        </w:rPr>
        <w:t>2</w:t>
      </w:r>
    </w:p>
    <w:p w14:paraId="2B852396" w14:textId="77777777" w:rsidR="00462748" w:rsidRDefault="00462748" w:rsidP="0056345B">
      <w:pPr>
        <w:pStyle w:val="Normal-nospace"/>
        <w:divId w:val="935526654"/>
      </w:pPr>
      <w:r>
        <w:t>Dr Saifur Rahman</w:t>
      </w:r>
      <w:r w:rsidRPr="00350810">
        <w:rPr>
          <w:vertAlign w:val="superscript"/>
        </w:rPr>
        <w:t>2</w:t>
      </w:r>
    </w:p>
    <w:p w14:paraId="2DB2EAE4" w14:textId="77777777" w:rsidR="00462748" w:rsidRDefault="00462748" w:rsidP="0056345B">
      <w:pPr>
        <w:pStyle w:val="Normal-nospace"/>
        <w:divId w:val="935526654"/>
      </w:pPr>
      <w:r>
        <w:t>Assoc. Prof. Linda Hueston</w:t>
      </w:r>
      <w:r w:rsidRPr="00350810">
        <w:rPr>
          <w:vertAlign w:val="superscript"/>
        </w:rPr>
        <w:t>4</w:t>
      </w:r>
    </w:p>
    <w:p w14:paraId="43E9E58D" w14:textId="77777777" w:rsidR="00462748" w:rsidRDefault="00462748" w:rsidP="0056345B">
      <w:pPr>
        <w:pStyle w:val="Normal-nospace"/>
        <w:divId w:val="935526654"/>
      </w:pPr>
      <w:r>
        <w:t>Ms Keira Glasgow</w:t>
      </w:r>
      <w:r w:rsidRPr="00350810">
        <w:rPr>
          <w:vertAlign w:val="superscript"/>
        </w:rPr>
        <w:t>5</w:t>
      </w:r>
    </w:p>
    <w:p w14:paraId="7F1818F4" w14:textId="77777777" w:rsidR="00462748" w:rsidRDefault="00462748" w:rsidP="0056345B">
      <w:pPr>
        <w:pStyle w:val="Normal-nospace"/>
        <w:divId w:val="935526654"/>
      </w:pPr>
      <w:r>
        <w:t>Ms April Roberts-Witteveen</w:t>
      </w:r>
      <w:r w:rsidRPr="00350810">
        <w:rPr>
          <w:vertAlign w:val="superscript"/>
        </w:rPr>
        <w:t>2</w:t>
      </w:r>
    </w:p>
    <w:p w14:paraId="5A823476" w14:textId="77777777" w:rsidR="00462748" w:rsidRDefault="00462748" w:rsidP="00462748">
      <w:pPr>
        <w:pStyle w:val="CDINumberedList1-L1"/>
        <w:divId w:val="935526654"/>
      </w:pPr>
      <w:r>
        <w:t>NSW Public Health Training Program, NSW Ministry of Health</w:t>
      </w:r>
    </w:p>
    <w:p w14:paraId="50237B64" w14:textId="77777777" w:rsidR="00462748" w:rsidRDefault="00462748" w:rsidP="00462748">
      <w:pPr>
        <w:pStyle w:val="CDINumberedList1-L1lessspace"/>
        <w:divId w:val="935526654"/>
      </w:pPr>
      <w:r>
        <w:t>Murrumbidgee and Southern New South Wales Local Health District, Public Health Unit, Infectious Diseases, NSW Health</w:t>
      </w:r>
    </w:p>
    <w:p w14:paraId="7C419413" w14:textId="77777777" w:rsidR="00462748" w:rsidRDefault="00462748" w:rsidP="00462748">
      <w:pPr>
        <w:pStyle w:val="CDINumberedList1-L1lessspace"/>
        <w:divId w:val="935526654"/>
      </w:pPr>
      <w:r>
        <w:t xml:space="preserve">North Sydney Local Health District, Public Health Unit, NSW Health </w:t>
      </w:r>
    </w:p>
    <w:p w14:paraId="7ADA9A8E" w14:textId="77777777" w:rsidR="00462748" w:rsidRDefault="00462748" w:rsidP="00462748">
      <w:pPr>
        <w:pStyle w:val="CDINumberedList1-L1lessspace"/>
        <w:divId w:val="935526654"/>
      </w:pPr>
      <w:r>
        <w:t>Arbovirus Emerging Diseases Unit, NSW Health Pathology – Institute of Clinical Pathology and Medical Research</w:t>
      </w:r>
    </w:p>
    <w:p w14:paraId="2F682AF4" w14:textId="77777777" w:rsidR="00462748" w:rsidRDefault="00462748" w:rsidP="00462748">
      <w:pPr>
        <w:pStyle w:val="CDINumberedList1-L1lessspace"/>
        <w:divId w:val="935526654"/>
      </w:pPr>
      <w:r>
        <w:t>Health Protection NSW, NSW Ministry of Health</w:t>
      </w:r>
    </w:p>
    <w:p w14:paraId="4A44A5BC" w14:textId="77777777" w:rsidR="00462748" w:rsidRPr="00350810" w:rsidRDefault="00462748" w:rsidP="00462748">
      <w:pPr>
        <w:pStyle w:val="Authordetails"/>
        <w:divId w:val="935526654"/>
      </w:pPr>
      <w:r w:rsidRPr="00350810">
        <w:t>Corresponding author</w:t>
      </w:r>
    </w:p>
    <w:p w14:paraId="469707FF" w14:textId="77777777" w:rsidR="00462748" w:rsidRDefault="00462748" w:rsidP="00462748">
      <w:pPr>
        <w:divId w:val="935526654"/>
      </w:pPr>
      <w:r>
        <w:t>Gamuchirai M Shava</w:t>
      </w:r>
    </w:p>
    <w:p w14:paraId="2B1A8E4A" w14:textId="77777777" w:rsidR="00462748" w:rsidRDefault="00462748" w:rsidP="00462748">
      <w:pPr>
        <w:pStyle w:val="Normal-lessspace"/>
        <w:divId w:val="935526654"/>
      </w:pPr>
      <w:r>
        <w:t>Ministry of Health, Centre for Epidemiology and Evidence (CEE), 1 Reserve Road, St Leonards NSW 2065</w:t>
      </w:r>
    </w:p>
    <w:p w14:paraId="34D17FC1" w14:textId="77777777" w:rsidR="00462748" w:rsidRDefault="00462748" w:rsidP="00462748">
      <w:pPr>
        <w:pStyle w:val="Normal-lessspace"/>
        <w:divId w:val="935526654"/>
      </w:pPr>
      <w:r>
        <w:t xml:space="preserve">Phone: +61 432 936 753 </w:t>
      </w:r>
    </w:p>
    <w:p w14:paraId="5BA824CA" w14:textId="1285CE00" w:rsidR="008A0736" w:rsidRPr="007A2D74" w:rsidRDefault="00462748" w:rsidP="00462748">
      <w:pPr>
        <w:pStyle w:val="Normal-lessspace"/>
        <w:divId w:val="935526654"/>
      </w:pPr>
      <w:r>
        <w:t>Email: Gamuchirai.Shava@health.nsw.gov.au; gamshava@gmail.com</w:t>
      </w:r>
      <w:r w:rsidR="008A0736" w:rsidRPr="007A2D74">
        <w:br w:type="page"/>
      </w:r>
    </w:p>
    <w:p w14:paraId="5C9850D1" w14:textId="77777777" w:rsidR="008A0736" w:rsidRDefault="008A0736" w:rsidP="00122ADA">
      <w:pPr>
        <w:pStyle w:val="Heading1"/>
        <w:divId w:val="935526654"/>
      </w:pPr>
      <w:r>
        <w:lastRenderedPageBreak/>
        <w:t>References</w:t>
      </w:r>
    </w:p>
    <w:p w14:paraId="22290233" w14:textId="77777777" w:rsidR="00462748" w:rsidRPr="0056345B" w:rsidRDefault="00462748" w:rsidP="0056345B">
      <w:pPr>
        <w:pStyle w:val="CDINumberedList1-L1"/>
        <w:numPr>
          <w:ilvl w:val="0"/>
          <w:numId w:val="19"/>
        </w:numPr>
        <w:divId w:val="935526654"/>
      </w:pPr>
      <w:r w:rsidRPr="0056345B">
        <w:t xml:space="preserve">Postler TS, Beer M, </w:t>
      </w:r>
      <w:proofErr w:type="spellStart"/>
      <w:r w:rsidRPr="0056345B">
        <w:t>Blitvich</w:t>
      </w:r>
      <w:proofErr w:type="spellEnd"/>
      <w:r w:rsidRPr="0056345B">
        <w:t xml:space="preserve"> BJ, Bukh J, de </w:t>
      </w:r>
      <w:proofErr w:type="spellStart"/>
      <w:r w:rsidRPr="0056345B">
        <w:t>Lamballerie</w:t>
      </w:r>
      <w:proofErr w:type="spellEnd"/>
      <w:r w:rsidRPr="0056345B">
        <w:t xml:space="preserve"> X, Drexler JF et al. Renaming of the genus Flavivirus to Orthoflavivirus and extension of binomial species names within the family Flaviviridae. </w:t>
      </w:r>
      <w:r w:rsidRPr="0056345B">
        <w:rPr>
          <w:i/>
          <w:iCs/>
        </w:rPr>
        <w:t xml:space="preserve">Arch </w:t>
      </w:r>
      <w:proofErr w:type="spellStart"/>
      <w:r w:rsidRPr="0056345B">
        <w:rPr>
          <w:i/>
          <w:iCs/>
        </w:rPr>
        <w:t>Virol</w:t>
      </w:r>
      <w:proofErr w:type="spellEnd"/>
      <w:r w:rsidRPr="0056345B">
        <w:t>. 2023 Aug 10;168(9):224. doi: https://doi.org/10.1007/s00705-023-05835-1.</w:t>
      </w:r>
    </w:p>
    <w:p w14:paraId="1A462902" w14:textId="77777777" w:rsidR="00462748" w:rsidRPr="00350810" w:rsidRDefault="00462748" w:rsidP="0056345B">
      <w:pPr>
        <w:pStyle w:val="CDINumberedList1-L1"/>
        <w:divId w:val="935526654"/>
      </w:pPr>
      <w:proofErr w:type="spellStart"/>
      <w:r w:rsidRPr="00350810">
        <w:t>Impoinvil</w:t>
      </w:r>
      <w:proofErr w:type="spellEnd"/>
      <w:r w:rsidRPr="00350810">
        <w:t xml:space="preserve"> DE, Baylis M, Solomon T. Japanese encephalitis: on the One Health agenda. </w:t>
      </w:r>
      <w:r w:rsidRPr="00350810">
        <w:rPr>
          <w:i/>
          <w:iCs/>
        </w:rPr>
        <w:t>Curr Top Microbiol Immunol</w:t>
      </w:r>
      <w:r w:rsidRPr="00350810">
        <w:t xml:space="preserve">. </w:t>
      </w:r>
      <w:proofErr w:type="gramStart"/>
      <w:r w:rsidRPr="00350810">
        <w:t>2013;365:205</w:t>
      </w:r>
      <w:proofErr w:type="gramEnd"/>
      <w:r w:rsidRPr="00350810">
        <w:t>–47. doi: https://doi.org/10.1007/82_2012_243.</w:t>
      </w:r>
    </w:p>
    <w:p w14:paraId="109FFA56" w14:textId="77777777" w:rsidR="00462748" w:rsidRPr="00350810" w:rsidRDefault="00462748" w:rsidP="0056345B">
      <w:pPr>
        <w:pStyle w:val="CDINumberedList1-L1"/>
        <w:divId w:val="935526654"/>
      </w:pPr>
      <w:r w:rsidRPr="00350810">
        <w:t xml:space="preserve">van-den-Hurk AF, Ritchie SA, Johansen CA, Mackenzie JS, Smith GA. Domestic pigs and Japanese encephalitis virus infection, Australia. </w:t>
      </w:r>
      <w:r w:rsidRPr="00350810">
        <w:rPr>
          <w:i/>
          <w:iCs/>
        </w:rPr>
        <w:t>Emerg Infect Dis</w:t>
      </w:r>
      <w:r w:rsidRPr="00350810">
        <w:t>. 2008;14(11):1736–8. doi:</w:t>
      </w:r>
      <w:r>
        <w:t> </w:t>
      </w:r>
      <w:r w:rsidRPr="00350810">
        <w:t xml:space="preserve">https://doi.org/10.3201/eid1411.071368. </w:t>
      </w:r>
    </w:p>
    <w:p w14:paraId="64536917" w14:textId="77777777" w:rsidR="00462748" w:rsidRPr="00350810" w:rsidRDefault="00462748" w:rsidP="0056345B">
      <w:pPr>
        <w:pStyle w:val="CDINumberedList1-L1"/>
        <w:divId w:val="935526654"/>
      </w:pPr>
      <w:r w:rsidRPr="00350810">
        <w:t xml:space="preserve">Campbell GL, Hills SL, Fischer M, Jacobson JA, Hoke CH, </w:t>
      </w:r>
      <w:proofErr w:type="spellStart"/>
      <w:r w:rsidRPr="00350810">
        <w:t>Hombach</w:t>
      </w:r>
      <w:proofErr w:type="spellEnd"/>
      <w:r w:rsidRPr="00350810">
        <w:t xml:space="preserve"> JM et al. Estimated global incidence of Japanese encephalitis: a systematic review. </w:t>
      </w:r>
      <w:r w:rsidRPr="00350810">
        <w:rPr>
          <w:i/>
          <w:iCs/>
        </w:rPr>
        <w:t>Bull World Health Organ</w:t>
      </w:r>
      <w:r w:rsidRPr="00350810">
        <w:t xml:space="preserve">. 2011;89(10):766–74, 774A-774E. doi: https://doi.org/10.2471/BLT.10.085233. </w:t>
      </w:r>
    </w:p>
    <w:p w14:paraId="6EF38BDE" w14:textId="77777777" w:rsidR="00462748" w:rsidRPr="00350810" w:rsidRDefault="00462748" w:rsidP="0056345B">
      <w:pPr>
        <w:pStyle w:val="CDINumberedList1-L1"/>
        <w:divId w:val="935526654"/>
      </w:pPr>
      <w:proofErr w:type="spellStart"/>
      <w:r w:rsidRPr="00350810">
        <w:t>Healthdirect</w:t>
      </w:r>
      <w:proofErr w:type="spellEnd"/>
      <w:r w:rsidRPr="00350810">
        <w:t xml:space="preserve">. Japanese encephalitis. [Webpage.] Canberra: </w:t>
      </w:r>
      <w:proofErr w:type="spellStart"/>
      <w:r w:rsidRPr="00350810">
        <w:t>Healthdirect</w:t>
      </w:r>
      <w:proofErr w:type="spellEnd"/>
      <w:r w:rsidRPr="00350810">
        <w:t xml:space="preserve"> Australia; March 2022. [Accessed on 24 August 2022.] Available from: https://www.healthdirect.gov.au/japanese-encephalitis.</w:t>
      </w:r>
    </w:p>
    <w:p w14:paraId="1049AECD" w14:textId="77777777" w:rsidR="00462748" w:rsidRPr="00350810" w:rsidRDefault="00462748" w:rsidP="0056345B">
      <w:pPr>
        <w:pStyle w:val="CDINumberedList1-L1"/>
        <w:divId w:val="935526654"/>
      </w:pPr>
      <w:r w:rsidRPr="00350810">
        <w:t xml:space="preserve">Sunwoo JS, Lee ST, Jung KH, Park KI, Moon J, Jung KY et al. Clinical characteristics of severe Japanese encephalitis: a case series from South Korea. </w:t>
      </w:r>
      <w:r w:rsidRPr="00350810">
        <w:rPr>
          <w:i/>
          <w:iCs/>
        </w:rPr>
        <w:t xml:space="preserve">Am J Trop Med </w:t>
      </w:r>
      <w:proofErr w:type="spellStart"/>
      <w:r w:rsidRPr="00350810">
        <w:rPr>
          <w:i/>
          <w:iCs/>
        </w:rPr>
        <w:t>Hyg</w:t>
      </w:r>
      <w:proofErr w:type="spellEnd"/>
      <w:r w:rsidRPr="00350810">
        <w:t>. 2017;97(2):369–75. doi:</w:t>
      </w:r>
      <w:r>
        <w:t> </w:t>
      </w:r>
      <w:r w:rsidRPr="00350810">
        <w:t>https://doi.org/10.4269/ajtmh.17-0054.</w:t>
      </w:r>
    </w:p>
    <w:p w14:paraId="75C3985B" w14:textId="77777777" w:rsidR="00462748" w:rsidRPr="00350810" w:rsidRDefault="00462748" w:rsidP="0056345B">
      <w:pPr>
        <w:pStyle w:val="CDINumberedList1-L1"/>
        <w:divId w:val="935526654"/>
      </w:pPr>
      <w:r w:rsidRPr="00350810">
        <w:t>New South Wales Government Department of Health (NSW Health). Japanese encephalitis fact sheet. [Internet.] Sydney: NSW Health; 2022. [Accessed on 24 January 2023.] Available from: https://www.health.nsw.gov.au/Infectious/factsheets/Pages/japanese_encephalitis.aspx.</w:t>
      </w:r>
    </w:p>
    <w:p w14:paraId="6BB8C980" w14:textId="77777777" w:rsidR="00462748" w:rsidRPr="00350810" w:rsidRDefault="00462748" w:rsidP="0056345B">
      <w:pPr>
        <w:pStyle w:val="CDINumberedList1-L1"/>
        <w:divId w:val="935526654"/>
      </w:pPr>
      <w:proofErr w:type="spellStart"/>
      <w:r w:rsidRPr="00350810">
        <w:t>Centers</w:t>
      </w:r>
      <w:proofErr w:type="spellEnd"/>
      <w:r w:rsidRPr="00350810">
        <w:t xml:space="preserve"> for Disease Control and Prevention (CDC). Japanese Encephalitis Virus: Symptoms &amp; Treatment. [Webpage.] Atlanta: United States Government Department of Health and Human Services, CDC; 13 October 2022. [Accessed on 24 January 2023.] Available from: https://www.cdc.gov/japaneseencephalitis/symptoms/index.html.</w:t>
      </w:r>
    </w:p>
    <w:p w14:paraId="2B1729D0" w14:textId="77777777" w:rsidR="00462748" w:rsidRPr="00350810" w:rsidRDefault="00462748" w:rsidP="0056345B">
      <w:pPr>
        <w:pStyle w:val="CDINumberedList1-L1"/>
        <w:divId w:val="935526654"/>
      </w:pPr>
      <w:r w:rsidRPr="00350810">
        <w:t xml:space="preserve">Dhakal S, Stephen C, Ale A, Joshi DD. Knowledge and practices of pig farmers regarding Japanese encephalitis in Kathmandu, Nepal. </w:t>
      </w:r>
      <w:r w:rsidRPr="00350810">
        <w:rPr>
          <w:i/>
          <w:iCs/>
        </w:rPr>
        <w:t>Zoonoses Public Health</w:t>
      </w:r>
      <w:r w:rsidRPr="00350810">
        <w:t>. 2012;59(8):568–74. doi:</w:t>
      </w:r>
      <w:r>
        <w:t> </w:t>
      </w:r>
      <w:r w:rsidRPr="00350810">
        <w:t xml:space="preserve">https://doi.org10.1111/j.1863-2378.2012.01498.x /. </w:t>
      </w:r>
    </w:p>
    <w:p w14:paraId="32ABE336" w14:textId="77777777" w:rsidR="00462748" w:rsidRPr="00350810" w:rsidRDefault="00462748" w:rsidP="0056345B">
      <w:pPr>
        <w:pStyle w:val="CDINumberedList1-L1"/>
        <w:divId w:val="935526654"/>
      </w:pPr>
      <w:r w:rsidRPr="00350810">
        <w:t xml:space="preserve">Furuya-Kanamori L, Gyawali N, Mills DJ, Hugo LE, Devine GJ, Lau CL. The emergence of Japanese encephalitis in Australia and the implications for a vaccination strategy. </w:t>
      </w:r>
      <w:r w:rsidRPr="00350810">
        <w:rPr>
          <w:i/>
          <w:iCs/>
        </w:rPr>
        <w:t>Trop Med Infect Dis</w:t>
      </w:r>
      <w:r w:rsidRPr="00350810">
        <w:t xml:space="preserve">. 2022;7(6):85. doi: https://doi.org/10.3390/tropicalmed7060085. </w:t>
      </w:r>
    </w:p>
    <w:p w14:paraId="07384F82" w14:textId="77777777" w:rsidR="00462748" w:rsidRPr="00350810" w:rsidRDefault="00462748" w:rsidP="0056345B">
      <w:pPr>
        <w:pStyle w:val="CDINumberedList1-L1"/>
        <w:divId w:val="935526654"/>
      </w:pPr>
      <w:r w:rsidRPr="00350810">
        <w:t xml:space="preserve">Bryan JH, O’Donnell MS, Berry G, Carvan T. Dispersal of adult female </w:t>
      </w:r>
      <w:r w:rsidRPr="00350810">
        <w:rPr>
          <w:i/>
          <w:iCs/>
        </w:rPr>
        <w:t>Culex annulirostris</w:t>
      </w:r>
      <w:r w:rsidRPr="00350810">
        <w:t xml:space="preserve"> in Griffith, New South Wales, Australia: a further study. </w:t>
      </w:r>
      <w:r w:rsidRPr="00350810">
        <w:rPr>
          <w:i/>
          <w:iCs/>
        </w:rPr>
        <w:t>J Am Mosq Control Assoc</w:t>
      </w:r>
      <w:r w:rsidRPr="00350810">
        <w:t xml:space="preserve">. 1992;8(4):398–403. </w:t>
      </w:r>
    </w:p>
    <w:p w14:paraId="164EED3E" w14:textId="77777777" w:rsidR="00462748" w:rsidRPr="00350810" w:rsidRDefault="00462748" w:rsidP="0056345B">
      <w:pPr>
        <w:pStyle w:val="CDINumberedList1-L1"/>
        <w:divId w:val="935526654"/>
      </w:pPr>
      <w:proofErr w:type="spellStart"/>
      <w:r w:rsidRPr="00350810">
        <w:t>Tankeshwar</w:t>
      </w:r>
      <w:proofErr w:type="spellEnd"/>
      <w:r w:rsidRPr="00350810">
        <w:t xml:space="preserve"> A. Japanese Encephalitis (JE) Virus: Life Cycle, Pathogenesis, Diagnosis. [Webpage.] Lalitpur: Microbe Online; 13 June 2022. [Accessed on 22 August 2022.] Available from: https://microbeonline.com/japanese-encephalitis-je-virus-structure-life-cycle-pathogenesis-diagnosis/.</w:t>
      </w:r>
    </w:p>
    <w:p w14:paraId="6CF03425" w14:textId="77777777" w:rsidR="00462748" w:rsidRPr="00350810" w:rsidRDefault="00462748" w:rsidP="0056345B">
      <w:pPr>
        <w:pStyle w:val="CDINumberedList1-L1"/>
        <w:divId w:val="935526654"/>
      </w:pPr>
      <w:r w:rsidRPr="00350810">
        <w:lastRenderedPageBreak/>
        <w:t>World Health Organization (WHO). Japanese encephalitis. [Online fact sheet.] Geneva: WHO; 9 May 2019. [Accessed on 22 Aug 2022.] Available from: https://www.who.int/news-room/fact-sheets/detail/japanese-encephalitis.</w:t>
      </w:r>
    </w:p>
    <w:p w14:paraId="560D5A5D" w14:textId="77777777" w:rsidR="00462748" w:rsidRPr="00350810" w:rsidRDefault="00462748" w:rsidP="0056345B">
      <w:pPr>
        <w:pStyle w:val="CDINumberedList1-L1"/>
        <w:divId w:val="935526654"/>
      </w:pPr>
      <w:r w:rsidRPr="00350810">
        <w:t xml:space="preserve">Institute of Medicine (US) Committee on Issues and Priorities for New Vaccine Development. </w:t>
      </w:r>
      <w:r w:rsidRPr="00350810">
        <w:rPr>
          <w:i/>
          <w:iCs/>
        </w:rPr>
        <w:t>New Vaccine Development Establishing Priorities: Volume II: Diseases of Importance in Developing Countries</w:t>
      </w:r>
      <w:r w:rsidRPr="00350810">
        <w:t>. Appendix D-6: The Prospects for Immunizing Against Japanese Encephalitis Virus. [Webpage.] Bethesda: United States Government Department of Health and Human Services, National Library of Medicine / Washington D.C.: National Academies Press (US); 1986. [Accessed on 29 August 2022.] Available from: https://www.ncbi.nlm.nih.gov/books/NBK219063/.</w:t>
      </w:r>
    </w:p>
    <w:p w14:paraId="5950836A" w14:textId="77777777" w:rsidR="00462748" w:rsidRPr="00350810" w:rsidRDefault="00462748" w:rsidP="0056345B">
      <w:pPr>
        <w:pStyle w:val="CDINumberedList1-L1"/>
        <w:divId w:val="935526654"/>
      </w:pPr>
      <w:r w:rsidRPr="00350810">
        <w:t xml:space="preserve">Hills SL, Lindsey NP, Fisher M. Japanese Encephalitis. </w:t>
      </w:r>
      <w:r w:rsidRPr="00350810">
        <w:rPr>
          <w:i/>
          <w:iCs/>
        </w:rPr>
        <w:t>In CDC Yellow Book 2020: Health Information for International Travel</w:t>
      </w:r>
      <w:r w:rsidRPr="00350810">
        <w:t>, Chapter 4: Travel-Related Infectious Diseases. Atlanta: CDC; 24 June 2019. [Accessed on 22 August 2022.] Available from: https://wwwnc.cdc.gov/travel/yellowbook/2020/travel-related-infectious-diseases/japanese-encephalitis.</w:t>
      </w:r>
    </w:p>
    <w:p w14:paraId="00CE6D5A" w14:textId="77777777" w:rsidR="00462748" w:rsidRPr="00350810" w:rsidRDefault="00462748" w:rsidP="0056345B">
      <w:pPr>
        <w:pStyle w:val="CDINumberedList1-L1"/>
        <w:divId w:val="935526654"/>
      </w:pPr>
      <w:r w:rsidRPr="00350810">
        <w:t xml:space="preserve">Kitchener S, </w:t>
      </w:r>
      <w:proofErr w:type="spellStart"/>
      <w:r w:rsidRPr="00350810">
        <w:t>Nasveld</w:t>
      </w:r>
      <w:proofErr w:type="spellEnd"/>
      <w:r w:rsidRPr="00350810">
        <w:t xml:space="preserve"> P, Brennan L, Ward D. Comparative safety and efficacy of subcutaneous and intradermal administration of inactivated Japanese encephalitis vaccine during </w:t>
      </w:r>
      <w:proofErr w:type="spellStart"/>
      <w:r w:rsidRPr="00350810">
        <w:t>predeployment</w:t>
      </w:r>
      <w:proofErr w:type="spellEnd"/>
      <w:r w:rsidRPr="00350810">
        <w:t xml:space="preserve"> preparations in the Australian Defence Force. </w:t>
      </w:r>
      <w:r w:rsidRPr="00350810">
        <w:rPr>
          <w:i/>
          <w:iCs/>
        </w:rPr>
        <w:t>Mil Med</w:t>
      </w:r>
      <w:r w:rsidRPr="00350810">
        <w:t>. 2006;171(12):1190–5. doi:</w:t>
      </w:r>
      <w:r>
        <w:t> </w:t>
      </w:r>
      <w:r w:rsidRPr="00350810">
        <w:t xml:space="preserve">https://doi.org/10.7205/milmed.171.12.1190. </w:t>
      </w:r>
    </w:p>
    <w:p w14:paraId="0A45C222" w14:textId="77777777" w:rsidR="00462748" w:rsidRPr="00350810" w:rsidRDefault="00462748" w:rsidP="0056345B">
      <w:pPr>
        <w:pStyle w:val="CDINumberedList1-L1"/>
        <w:divId w:val="935526654"/>
      </w:pPr>
      <w:r w:rsidRPr="00350810">
        <w:t xml:space="preserve">Vannice KS, Hills SL, Schwartz LM, Barrett AD, Heffelfinger J, </w:t>
      </w:r>
      <w:proofErr w:type="spellStart"/>
      <w:r w:rsidRPr="00350810">
        <w:t>Hombach</w:t>
      </w:r>
      <w:proofErr w:type="spellEnd"/>
      <w:r w:rsidRPr="00350810">
        <w:t xml:space="preserve"> J et al. The future of Japanese encephalitis vaccination: expert recommendations for achieving and maintaining optimal JE control. </w:t>
      </w:r>
      <w:r w:rsidRPr="00350810">
        <w:rPr>
          <w:i/>
          <w:iCs/>
        </w:rPr>
        <w:t>NPJ Vaccines</w:t>
      </w:r>
      <w:r w:rsidRPr="00350810">
        <w:t xml:space="preserve">. 2021;6(1):1–9. doi: https://doi.org/10.1038/s41541-021-00338-z. </w:t>
      </w:r>
    </w:p>
    <w:p w14:paraId="31353AD1" w14:textId="77777777" w:rsidR="00462748" w:rsidRPr="00350810" w:rsidRDefault="00462748" w:rsidP="0056345B">
      <w:pPr>
        <w:pStyle w:val="CDINumberedList1-L1"/>
        <w:divId w:val="935526654"/>
      </w:pPr>
      <w:r w:rsidRPr="00350810">
        <w:t>Australian Government Department of Health and Aged Care, Australian Immunisation Handbook. Japanese encephalitis. [Webpage.] Canberra: Australian Government Department of Health and Aged Care; 19 May 2022. [Accessed on 18 August 2022.] Available from: https://immunisationhandbook.health.gov.au/contents/vaccine-preventable-diseases/japanese-encephalitis.</w:t>
      </w:r>
    </w:p>
    <w:p w14:paraId="621E2633" w14:textId="77777777" w:rsidR="00462748" w:rsidRPr="00350810" w:rsidRDefault="00462748" w:rsidP="0056345B">
      <w:pPr>
        <w:pStyle w:val="CDINumberedList1-L1"/>
        <w:divId w:val="935526654"/>
      </w:pPr>
      <w:r w:rsidRPr="00350810">
        <w:t xml:space="preserve">Hanna JH, Ritchie SA, Phillip DA, Shield J, Mackenzie JS, </w:t>
      </w:r>
      <w:proofErr w:type="spellStart"/>
      <w:r w:rsidRPr="00350810">
        <w:t>Poidinger</w:t>
      </w:r>
      <w:proofErr w:type="spellEnd"/>
      <w:r w:rsidRPr="00350810">
        <w:t xml:space="preserve"> M et al. An outbreak of Japanese encephalitis in the Torres Strait, Australia, 1995. </w:t>
      </w:r>
      <w:r w:rsidRPr="00350810">
        <w:rPr>
          <w:i/>
          <w:iCs/>
        </w:rPr>
        <w:t>Med J Aust</w:t>
      </w:r>
      <w:r w:rsidRPr="00350810">
        <w:t>. 1996;165(5):256–60. doi:</w:t>
      </w:r>
      <w:r>
        <w:t> </w:t>
      </w:r>
      <w:r w:rsidRPr="00350810">
        <w:t>https://doi.org/10.5694/j.1326-5377.1996.tb124960.x.</w:t>
      </w:r>
    </w:p>
    <w:p w14:paraId="39AC528C" w14:textId="77777777" w:rsidR="00462748" w:rsidRPr="00350810" w:rsidRDefault="00462748" w:rsidP="0056345B">
      <w:pPr>
        <w:pStyle w:val="CDINumberedList1-L1"/>
        <w:divId w:val="935526654"/>
      </w:pPr>
      <w:r w:rsidRPr="00350810">
        <w:t>van den Hurk AF, Pyke AT, Mackenzie JS, Hall-</w:t>
      </w:r>
      <w:proofErr w:type="spellStart"/>
      <w:r w:rsidRPr="00350810">
        <w:t>Mendelin</w:t>
      </w:r>
      <w:proofErr w:type="spellEnd"/>
      <w:r w:rsidRPr="00350810">
        <w:t xml:space="preserve"> S, Ritchie SA. Japanese encephalitis virus in Australia: from known known to known unknown. </w:t>
      </w:r>
      <w:r w:rsidRPr="00350810">
        <w:rPr>
          <w:i/>
          <w:iCs/>
        </w:rPr>
        <w:t>Trop Med Infect Dis</w:t>
      </w:r>
      <w:r w:rsidRPr="00350810">
        <w:t>. 2019;4(1):38. doi:</w:t>
      </w:r>
      <w:r>
        <w:t> </w:t>
      </w:r>
      <w:r w:rsidRPr="00350810">
        <w:t xml:space="preserve">https://doi.org/10.3390/tropicalmed4010038. </w:t>
      </w:r>
    </w:p>
    <w:p w14:paraId="22E7A91E" w14:textId="77777777" w:rsidR="00462748" w:rsidRPr="00350810" w:rsidRDefault="00462748" w:rsidP="0056345B">
      <w:pPr>
        <w:pStyle w:val="CDINumberedList1-L1"/>
        <w:divId w:val="935526654"/>
      </w:pPr>
      <w:r w:rsidRPr="00350810">
        <w:t xml:space="preserve">Yohannes K, Roche PW, Roberts A, Liu C, Firestone S, Bartlett M et al. Australia’s notifiable diseases status, 2004: Annual report of the National Notifiable Diseases Surveillance System. </w:t>
      </w:r>
      <w:r w:rsidRPr="00350810">
        <w:rPr>
          <w:i/>
          <w:iCs/>
        </w:rPr>
        <w:t>Commun Dis Intell Q Rep</w:t>
      </w:r>
      <w:r w:rsidRPr="00350810">
        <w:t>. 2006;30(1):1-79.</w:t>
      </w:r>
    </w:p>
    <w:p w14:paraId="2C4F98B9" w14:textId="77777777" w:rsidR="00462748" w:rsidRPr="00350810" w:rsidRDefault="00462748" w:rsidP="0056345B">
      <w:pPr>
        <w:pStyle w:val="CDINumberedList1-L1"/>
        <w:divId w:val="935526654"/>
      </w:pPr>
      <w:r w:rsidRPr="00350810">
        <w:t>WHO. Japanese encephalitis – Australia. [Webpage.] Geneva: WHO; 28 April 2022. [Accessed on 8 June 2022.] Available from: https://www.who.int/emergencies/disease-outbreak-news/item/2022-DON365.</w:t>
      </w:r>
    </w:p>
    <w:p w14:paraId="04A2CD39" w14:textId="77777777" w:rsidR="00462748" w:rsidRPr="00350810" w:rsidRDefault="00462748" w:rsidP="0056345B">
      <w:pPr>
        <w:pStyle w:val="CDINumberedList1-L1"/>
        <w:divId w:val="935526654"/>
      </w:pPr>
      <w:r w:rsidRPr="00350810">
        <w:lastRenderedPageBreak/>
        <w:t>Australian Government Department of Health and Aged Care. Japanese encephalitis virus (JEV). [Internet.] Canberra: Australian Government Department of Health and Aged Care; 2023. [Accessed on 20 June 2023.] Available from: https://www.health.gov.au/health-alerts/japanese-encephalitis-virus-jev/japanese-encephalitis-virus-jev.</w:t>
      </w:r>
    </w:p>
    <w:p w14:paraId="74A7B947" w14:textId="77777777" w:rsidR="00462748" w:rsidRPr="00350810" w:rsidRDefault="00462748" w:rsidP="0056345B">
      <w:pPr>
        <w:pStyle w:val="CDINumberedList1-L1"/>
        <w:divId w:val="935526654"/>
      </w:pPr>
      <w:r w:rsidRPr="00350810">
        <w:t>New South Wales Government Department of Primary Industries (DPI). Japanese encephalitis virus detected in samples from piggeries. [Internet.] Sydney: DPI; 27 February 2022. [Accessed on 29 December 2022.] Available from: https://www.dpi.nsw.gov.au/about-us/media-centre/releases/2022/general/japanese-encephalitis-virus-detected-in-samples-from-piggeries.</w:t>
      </w:r>
    </w:p>
    <w:p w14:paraId="617BD420" w14:textId="77777777" w:rsidR="00462748" w:rsidRPr="00350810" w:rsidRDefault="00462748" w:rsidP="0056345B">
      <w:pPr>
        <w:pStyle w:val="CDINumberedList1-L1"/>
        <w:divId w:val="935526654"/>
      </w:pPr>
      <w:r w:rsidRPr="00350810">
        <w:t>DPI. Japanese encephalitis. [Internet.] Sydney: DPI; 2022. [Accessed on 22 August 2022.] Available from: https://www.dpi.nsw.gov.au/biosecurity/animal/info-vets/japanese-encephalitis.</w:t>
      </w:r>
    </w:p>
    <w:p w14:paraId="6685A8DD" w14:textId="77777777" w:rsidR="00462748" w:rsidRPr="00350810" w:rsidRDefault="00462748" w:rsidP="0056345B">
      <w:pPr>
        <w:pStyle w:val="CDINumberedList1-L1"/>
        <w:divId w:val="935526654"/>
      </w:pPr>
      <w:r w:rsidRPr="00350810">
        <w:t>Australian Government Department of Agriculture, Fisheries and Forestry (DAFF). Japanese encephalitis virus. [Internet.] Canberra: DAFF; 2022. [Accessed on 24 August 2022.] Available from: https://www.agriculture.gov.au/biosecurity-trade/pests-diseases-weeds/animal/japanese-encephalitis.</w:t>
      </w:r>
    </w:p>
    <w:p w14:paraId="30AC0CF0" w14:textId="77777777" w:rsidR="00462748" w:rsidRPr="00350810" w:rsidRDefault="00462748" w:rsidP="0056345B">
      <w:pPr>
        <w:pStyle w:val="CDINumberedList1-L1"/>
        <w:divId w:val="935526654"/>
      </w:pPr>
      <w:r w:rsidRPr="00350810">
        <w:t>Australian Government Department of Health and Aged Care. Statement on the end of Japanese encephalitis virus emergency response. [Internet.] Canberra: Australian Government Department of Health and Aged Care; 16 June 2023. [Accessed on 2 February 2024.] Available from: https://www.health.gov.au/news/statement-on-the-end-of-japanese-encephalitis-virus-emergency-response.</w:t>
      </w:r>
    </w:p>
    <w:p w14:paraId="5379272E" w14:textId="77777777" w:rsidR="00462748" w:rsidRPr="00350810" w:rsidRDefault="00462748" w:rsidP="0056345B">
      <w:pPr>
        <w:pStyle w:val="CDINumberedList1-L1"/>
        <w:divId w:val="935526654"/>
      </w:pPr>
      <w:r w:rsidRPr="00350810">
        <w:t>NSW Health. Japanese encephalitis virus. [Webpage.] Sydney: NSW Health: 28 November 2023. [Accessed on 2 February 2024.] Available from: https://www.health.nsw.gov.au:443/Infectious/jev/Pages/default.aspx.</w:t>
      </w:r>
    </w:p>
    <w:p w14:paraId="69E1014D" w14:textId="77777777" w:rsidR="00462748" w:rsidRPr="00350810" w:rsidRDefault="00462748" w:rsidP="0056345B">
      <w:pPr>
        <w:pStyle w:val="CDINumberedList1-L1"/>
        <w:divId w:val="935526654"/>
      </w:pPr>
      <w:r w:rsidRPr="00350810">
        <w:t>Australian Government Department of Health and Aged Care. Japanese encephalitis virus situation declared a Communicable Disease Incident of National Significance. [Internet.] Canberra: Australian Government Department of Health and Aged Care; 4 March 2022. [Accessed on 29 August 2022.] Available from: https://www.health.gov.au/news/japanese-encephalitis-virus-situation-declared-a-communicable-disease-incident-of-national-significance.</w:t>
      </w:r>
    </w:p>
    <w:p w14:paraId="77FBCEE5" w14:textId="77777777" w:rsidR="00462748" w:rsidRPr="00350810" w:rsidRDefault="00462748" w:rsidP="0056345B">
      <w:pPr>
        <w:pStyle w:val="CDINumberedList1-L1"/>
        <w:divId w:val="935526654"/>
      </w:pPr>
      <w:r w:rsidRPr="00350810">
        <w:t xml:space="preserve">New South Wales Government Legislation (NSW Legislation). </w:t>
      </w:r>
      <w:r w:rsidRPr="00350810">
        <w:rPr>
          <w:i/>
          <w:iCs/>
        </w:rPr>
        <w:t>Public Health Act 2010 No 127</w:t>
      </w:r>
      <w:r w:rsidRPr="00350810">
        <w:t>. [Legislation.] Sydney: NSW Parliamentary Counsel’s Office, NSW Legislation; 4 October 2022. [Accessed on 11 October 2022.] Available from: https://legislation.nsw.gov.au/view/html/inforce/current/act-2010-127#sec.106.</w:t>
      </w:r>
    </w:p>
    <w:p w14:paraId="123D24ED" w14:textId="77777777" w:rsidR="00462748" w:rsidRPr="00350810" w:rsidRDefault="00462748" w:rsidP="0056345B">
      <w:pPr>
        <w:pStyle w:val="CDINumberedList1-L1"/>
        <w:divId w:val="935526654"/>
      </w:pPr>
      <w:r w:rsidRPr="00350810">
        <w:t xml:space="preserve">Howard-Jones AR, Pham D, </w:t>
      </w:r>
      <w:proofErr w:type="spellStart"/>
      <w:r w:rsidRPr="00350810">
        <w:t>Jeoffreys</w:t>
      </w:r>
      <w:proofErr w:type="spellEnd"/>
      <w:r w:rsidRPr="00350810">
        <w:t xml:space="preserve"> N, Eden JS, Hueston L, Kesson AM et al. Emerging genotype IV Japanese encephalitis virus outbreak in New South Wales, Australia. </w:t>
      </w:r>
      <w:r w:rsidRPr="00350810">
        <w:rPr>
          <w:i/>
          <w:iCs/>
        </w:rPr>
        <w:t>Viruses</w:t>
      </w:r>
      <w:r w:rsidRPr="00350810">
        <w:t>. 2022;14(9):1853. doi:</w:t>
      </w:r>
      <w:r>
        <w:t> </w:t>
      </w:r>
      <w:r w:rsidRPr="00350810">
        <w:t xml:space="preserve">https://doi.org/10.3390/v14091853. </w:t>
      </w:r>
    </w:p>
    <w:p w14:paraId="4EBE43C8" w14:textId="77777777" w:rsidR="00462748" w:rsidRPr="00350810" w:rsidRDefault="00462748" w:rsidP="0056345B">
      <w:pPr>
        <w:pStyle w:val="CDINumberedList1-L1"/>
        <w:divId w:val="935526654"/>
      </w:pPr>
      <w:r w:rsidRPr="00350810">
        <w:t xml:space="preserve">van den Hurk AF, Skinner E, Ritchie SA, Mackenzie JS. The emergence of Japanese encephalitis virus in Australia in 2022: existing knowledge of mosquito vectors. </w:t>
      </w:r>
      <w:r w:rsidRPr="00350810">
        <w:rPr>
          <w:i/>
          <w:iCs/>
        </w:rPr>
        <w:t>Viruses</w:t>
      </w:r>
      <w:r w:rsidRPr="00350810">
        <w:t>. 2022;14(6):1208. doi:</w:t>
      </w:r>
      <w:r>
        <w:t> </w:t>
      </w:r>
      <w:r w:rsidRPr="00350810">
        <w:t xml:space="preserve">https://doi.org/10.3390/v14061208. </w:t>
      </w:r>
    </w:p>
    <w:p w14:paraId="743B2585" w14:textId="77777777" w:rsidR="00462748" w:rsidRPr="00350810" w:rsidRDefault="00462748" w:rsidP="0056345B">
      <w:pPr>
        <w:pStyle w:val="CDINumberedList1-L1"/>
        <w:divId w:val="935526654"/>
      </w:pPr>
      <w:r w:rsidRPr="00350810">
        <w:lastRenderedPageBreak/>
        <w:t xml:space="preserve">Baruah A, Hazarika RA, Barman NN, Islam S, Gulati BR. Mosquito abundance and pig seropositivity as a correlate of Japanese encephalitis in human population in Assam, India. </w:t>
      </w:r>
      <w:r w:rsidRPr="00350810">
        <w:rPr>
          <w:i/>
          <w:iCs/>
        </w:rPr>
        <w:t>J Vector Borne Dis</w:t>
      </w:r>
      <w:r w:rsidRPr="00350810">
        <w:t xml:space="preserve">. 2018;55(4):291–6. doi: https://doi.org/10.4103/0972-9062.256564. </w:t>
      </w:r>
    </w:p>
    <w:p w14:paraId="1C1B65AA" w14:textId="77777777" w:rsidR="00462748" w:rsidRPr="00350810" w:rsidRDefault="00462748" w:rsidP="0056345B">
      <w:pPr>
        <w:pStyle w:val="CDINumberedList1-L1"/>
        <w:divId w:val="935526654"/>
      </w:pPr>
      <w:r w:rsidRPr="00350810">
        <w:t xml:space="preserve">Webb P, Bain C, Page A. </w:t>
      </w:r>
      <w:r w:rsidRPr="00350810">
        <w:rPr>
          <w:i/>
          <w:iCs/>
        </w:rPr>
        <w:t>Essential Epidemiology: An Introduction for Students and Health Professionals</w:t>
      </w:r>
      <w:r w:rsidRPr="00350810">
        <w:t xml:space="preserve"> (fourth edition). Cambridge: Cambridge University Press, 2019. </w:t>
      </w:r>
    </w:p>
    <w:p w14:paraId="6217F875" w14:textId="77777777" w:rsidR="00462748" w:rsidRPr="00350810" w:rsidRDefault="00462748" w:rsidP="0056345B">
      <w:pPr>
        <w:pStyle w:val="CDINumberedList1-L1"/>
        <w:divId w:val="935526654"/>
      </w:pPr>
      <w:r w:rsidRPr="00350810">
        <w:t xml:space="preserve">Musso D, </w:t>
      </w:r>
      <w:proofErr w:type="spellStart"/>
      <w:r w:rsidRPr="00350810">
        <w:t>Desprès</w:t>
      </w:r>
      <w:proofErr w:type="spellEnd"/>
      <w:r w:rsidRPr="00350810">
        <w:t xml:space="preserve"> P. Serological diagnosis of flavivirus-associated human infections. </w:t>
      </w:r>
      <w:r w:rsidRPr="00350810">
        <w:rPr>
          <w:i/>
          <w:iCs/>
        </w:rPr>
        <w:t>Diagnostics</w:t>
      </w:r>
      <w:r w:rsidRPr="00350810">
        <w:t xml:space="preserve">. 2020;10(5):302. doi: https://doi.org/10.3390/diagnostics10050302. </w:t>
      </w:r>
    </w:p>
    <w:p w14:paraId="4CA38834" w14:textId="77777777" w:rsidR="00462748" w:rsidRPr="00350810" w:rsidRDefault="00462748" w:rsidP="0056345B">
      <w:pPr>
        <w:pStyle w:val="CDINumberedList1-L1"/>
        <w:divId w:val="935526654"/>
      </w:pPr>
      <w:proofErr w:type="spellStart"/>
      <w:r w:rsidRPr="00350810">
        <w:t>Maeki</w:t>
      </w:r>
      <w:proofErr w:type="spellEnd"/>
      <w:r w:rsidRPr="00350810">
        <w:t xml:space="preserve"> T, Tajima S, Ikeda M, Kato F, Taniguchi S, Nakayama E et al. Analysis of cross-reactivity between flaviviruses with sera of patients with Japanese encephalitis showed the importance of neutralization tests for the diagnosis of Japanese encephalitis. </w:t>
      </w:r>
      <w:r w:rsidRPr="00350810">
        <w:rPr>
          <w:i/>
          <w:iCs/>
        </w:rPr>
        <w:t xml:space="preserve">J Infect </w:t>
      </w:r>
      <w:proofErr w:type="spellStart"/>
      <w:r w:rsidRPr="00350810">
        <w:rPr>
          <w:i/>
          <w:iCs/>
        </w:rPr>
        <w:t>Chemother</w:t>
      </w:r>
      <w:proofErr w:type="spellEnd"/>
      <w:r w:rsidRPr="00350810">
        <w:t>. 2019;25(10):786–90. doi:</w:t>
      </w:r>
      <w:r>
        <w:t> </w:t>
      </w:r>
      <w:r w:rsidRPr="00350810">
        <w:t xml:space="preserve">https://doi.org/10.1016/j.jiac.2019.04.003. </w:t>
      </w:r>
    </w:p>
    <w:p w14:paraId="38AD1BB7" w14:textId="77777777" w:rsidR="00462748" w:rsidRPr="00350810" w:rsidRDefault="00462748" w:rsidP="0056345B">
      <w:pPr>
        <w:pStyle w:val="CDINumberedList1-L1"/>
        <w:divId w:val="935526654"/>
      </w:pPr>
      <w:r w:rsidRPr="00350810">
        <w:t xml:space="preserve">Robinson JS, Featherstone D, </w:t>
      </w:r>
      <w:proofErr w:type="spellStart"/>
      <w:r w:rsidRPr="00350810">
        <w:t>Vasanthapuram</w:t>
      </w:r>
      <w:proofErr w:type="spellEnd"/>
      <w:r w:rsidRPr="00350810">
        <w:t xml:space="preserve"> R, Biggerstaff BJ, Desai A, </w:t>
      </w:r>
      <w:proofErr w:type="spellStart"/>
      <w:r w:rsidRPr="00350810">
        <w:t>Ramamurty</w:t>
      </w:r>
      <w:proofErr w:type="spellEnd"/>
      <w:r w:rsidRPr="00350810">
        <w:t xml:space="preserve"> N et al. Evaluation of three commercially available Japanese encephalitis virus IgM enzyme-linked immunosorbent assays. </w:t>
      </w:r>
      <w:r w:rsidRPr="00350810">
        <w:rPr>
          <w:i/>
          <w:iCs/>
        </w:rPr>
        <w:t xml:space="preserve">Am J Trop Med </w:t>
      </w:r>
      <w:proofErr w:type="spellStart"/>
      <w:r w:rsidRPr="00350810">
        <w:rPr>
          <w:i/>
          <w:iCs/>
        </w:rPr>
        <w:t>Hyg</w:t>
      </w:r>
      <w:proofErr w:type="spellEnd"/>
      <w:r w:rsidRPr="00350810">
        <w:t xml:space="preserve">. 2010;83(5):1146–55. doi: https://doi.org/10.4269/ajtmh.2010.10-0212. </w:t>
      </w:r>
    </w:p>
    <w:p w14:paraId="640D19BD" w14:textId="77777777" w:rsidR="00462748" w:rsidRPr="00350810" w:rsidRDefault="00462748" w:rsidP="0056345B">
      <w:pPr>
        <w:pStyle w:val="CDINumberedList1-L1"/>
        <w:divId w:val="935526654"/>
      </w:pPr>
      <w:r w:rsidRPr="00350810">
        <w:t xml:space="preserve">Pham D, Howard-Jones AR, Hueston L, </w:t>
      </w:r>
      <w:proofErr w:type="spellStart"/>
      <w:r w:rsidRPr="00350810">
        <w:t>Jeoffreys</w:t>
      </w:r>
      <w:proofErr w:type="spellEnd"/>
      <w:r w:rsidRPr="00350810">
        <w:t xml:space="preserve"> N, Doggett S, Rockett RJ et al. Emergence of Japanese encephalitis in Australia: a diagnostic perspective. </w:t>
      </w:r>
      <w:r w:rsidRPr="00350810">
        <w:rPr>
          <w:i/>
          <w:iCs/>
        </w:rPr>
        <w:t>Pathology</w:t>
      </w:r>
      <w:r w:rsidRPr="00350810">
        <w:t>. 2022;54(6):669–77. doi:</w:t>
      </w:r>
      <w:r>
        <w:t> </w:t>
      </w:r>
      <w:r w:rsidRPr="00350810">
        <w:t xml:space="preserve">https://doi.org/10.1016/j.pathol.2022.07.001. </w:t>
      </w:r>
    </w:p>
    <w:p w14:paraId="65A154D4" w14:textId="77777777" w:rsidR="00462748" w:rsidRPr="00350810" w:rsidRDefault="00462748" w:rsidP="0056345B">
      <w:pPr>
        <w:pStyle w:val="CDINumberedList1-L1"/>
        <w:divId w:val="935526654"/>
      </w:pPr>
      <w:r w:rsidRPr="00350810">
        <w:t xml:space="preserve">Chan KR, Ismail AA, </w:t>
      </w:r>
      <w:proofErr w:type="spellStart"/>
      <w:r w:rsidRPr="00350810">
        <w:t>Thergarajan</w:t>
      </w:r>
      <w:proofErr w:type="spellEnd"/>
      <w:r w:rsidRPr="00350810">
        <w:t xml:space="preserve"> G, Raju CS, Yam HC, Rishya M et al. Serological cross-reactivity among common flaviviruses. </w:t>
      </w:r>
      <w:r w:rsidRPr="00350810">
        <w:rPr>
          <w:i/>
          <w:iCs/>
        </w:rPr>
        <w:t>Front Cell Infect Microbiol</w:t>
      </w:r>
      <w:r w:rsidRPr="00350810">
        <w:t xml:space="preserve">. </w:t>
      </w:r>
      <w:proofErr w:type="gramStart"/>
      <w:r w:rsidRPr="00350810">
        <w:t>2022;12:975398</w:t>
      </w:r>
      <w:proofErr w:type="gramEnd"/>
      <w:r w:rsidRPr="00350810">
        <w:t>. doi:</w:t>
      </w:r>
      <w:r>
        <w:t> </w:t>
      </w:r>
      <w:r w:rsidRPr="00350810">
        <w:t xml:space="preserve">https://doi.org/10.3389/fcimb.2022.975398. </w:t>
      </w:r>
    </w:p>
    <w:p w14:paraId="79403BCD" w14:textId="77777777" w:rsidR="00462748" w:rsidRPr="00350810" w:rsidRDefault="00462748" w:rsidP="0056345B">
      <w:pPr>
        <w:pStyle w:val="CDINumberedList1-L1"/>
        <w:divId w:val="935526654"/>
      </w:pPr>
      <w:r w:rsidRPr="00350810">
        <w:t xml:space="preserve">Yakob L, Hu W, </w:t>
      </w:r>
      <w:proofErr w:type="spellStart"/>
      <w:r w:rsidRPr="00350810">
        <w:t>Frentiu</w:t>
      </w:r>
      <w:proofErr w:type="spellEnd"/>
      <w:r w:rsidRPr="00350810">
        <w:t xml:space="preserve"> FD, Gyawali N, Hugo LE, Johnson B et al. Japanese encephalitis emergence in Australia: the potential population at risk. </w:t>
      </w:r>
      <w:r w:rsidRPr="00350810">
        <w:rPr>
          <w:i/>
          <w:iCs/>
        </w:rPr>
        <w:t>Clin Infect Dis</w:t>
      </w:r>
      <w:r w:rsidRPr="00350810">
        <w:t>. 2023;76(2):335–7. doi:</w:t>
      </w:r>
      <w:r>
        <w:t> </w:t>
      </w:r>
      <w:r w:rsidRPr="00350810">
        <w:t xml:space="preserve">https://doi.org/10.1093/cid/ciac794. </w:t>
      </w:r>
    </w:p>
    <w:p w14:paraId="3043322B" w14:textId="77777777" w:rsidR="00462748" w:rsidRPr="00350810" w:rsidRDefault="00462748" w:rsidP="0056345B">
      <w:pPr>
        <w:pStyle w:val="CDINumberedList1-L1"/>
        <w:divId w:val="935526654"/>
      </w:pPr>
      <w:r w:rsidRPr="00350810">
        <w:t xml:space="preserve">Ren X, Fu S, Dai P, Wang H, Li Y, Li X et al. Pigsties near dwellings as a potential risk factor for the prevalence of Japanese encephalitis virus in adult in Shanxi, China. </w:t>
      </w:r>
      <w:r w:rsidRPr="00350810">
        <w:rPr>
          <w:i/>
          <w:iCs/>
        </w:rPr>
        <w:t>Infect Dis Poverty</w:t>
      </w:r>
      <w:r w:rsidRPr="00350810">
        <w:t xml:space="preserve">. 2017;6(1):100. doi: https://doi.org/10.1186/s40249-017-0312-4. </w:t>
      </w:r>
    </w:p>
    <w:p w14:paraId="1CE8577E" w14:textId="77777777" w:rsidR="00462748" w:rsidRPr="00350810" w:rsidRDefault="00462748" w:rsidP="0056345B">
      <w:pPr>
        <w:pStyle w:val="CDINumberedList1-L1"/>
        <w:divId w:val="935526654"/>
      </w:pPr>
      <w:r w:rsidRPr="00350810">
        <w:t xml:space="preserve">Liu W, Gibbons RV, Kari K, Clemens JD, </w:t>
      </w:r>
      <w:proofErr w:type="spellStart"/>
      <w:r w:rsidRPr="00350810">
        <w:t>Nisalak</w:t>
      </w:r>
      <w:proofErr w:type="spellEnd"/>
      <w:r w:rsidRPr="00350810">
        <w:t xml:space="preserve"> A, Marks F et al. Risk factors for Japanese encephalitis: a case-control study. </w:t>
      </w:r>
      <w:r w:rsidRPr="00350810">
        <w:rPr>
          <w:i/>
          <w:iCs/>
        </w:rPr>
        <w:t>Epidemiol Infect</w:t>
      </w:r>
      <w:r w:rsidRPr="00350810">
        <w:t>. 2010;138(9):1292–7. doi:</w:t>
      </w:r>
      <w:r>
        <w:t> </w:t>
      </w:r>
      <w:r w:rsidRPr="00350810">
        <w:t xml:space="preserve">https://doi.org/10.1017/S0950268810000063. </w:t>
      </w:r>
    </w:p>
    <w:p w14:paraId="29609FE6" w14:textId="442FE43B" w:rsidR="001A26DD" w:rsidRDefault="00462748" w:rsidP="0056345B">
      <w:pPr>
        <w:pStyle w:val="CDINumberedList1-L1"/>
        <w:divId w:val="935526654"/>
      </w:pPr>
      <w:r w:rsidRPr="00350810">
        <w:t xml:space="preserve">Walsh MG, Webb C, Brookes V. An evaluation of the landscape structure and La Niña climatic anomalies associated with Japanese encephalitis virus outbreaks reported in Australian piggeries in 2022. </w:t>
      </w:r>
      <w:r w:rsidRPr="0056345B">
        <w:rPr>
          <w:i/>
          <w:iCs/>
        </w:rPr>
        <w:t>One Health</w:t>
      </w:r>
      <w:r w:rsidRPr="00350810">
        <w:t xml:space="preserve">. </w:t>
      </w:r>
      <w:proofErr w:type="gramStart"/>
      <w:r w:rsidRPr="00350810">
        <w:t>2023;16:100566</w:t>
      </w:r>
      <w:proofErr w:type="gramEnd"/>
      <w:r w:rsidRPr="00350810">
        <w:t>. doi: https://doi.org/10.1016/j.onehlt.2023.100566.</w:t>
      </w:r>
    </w:p>
    <w:p w14:paraId="0AFE5DFD" w14:textId="77777777" w:rsidR="0056345B" w:rsidRDefault="0056345B" w:rsidP="0037146D">
      <w:pPr>
        <w:divId w:val="935526654"/>
        <w:sectPr w:rsidR="0056345B" w:rsidSect="00834644">
          <w:footnotePr>
            <w:numFmt w:val="lowerRoman"/>
          </w:footnotePr>
          <w:pgSz w:w="11907" w:h="16840" w:code="9"/>
          <w:pgMar w:top="1304" w:right="1134" w:bottom="1304" w:left="1134" w:header="709" w:footer="567" w:gutter="0"/>
          <w:cols w:space="708"/>
          <w:docGrid w:linePitch="360"/>
        </w:sectPr>
      </w:pPr>
    </w:p>
    <w:p w14:paraId="7375A52A" w14:textId="1BF4F878" w:rsidR="0056345B" w:rsidRDefault="0056345B" w:rsidP="0056345B">
      <w:pPr>
        <w:pStyle w:val="Heading1-nospacebefore"/>
      </w:pPr>
      <w:bookmarkStart w:id="0" w:name="_Hlk185172676"/>
      <w:r>
        <w:lastRenderedPageBreak/>
        <w:t>Appendix A</w:t>
      </w:r>
    </w:p>
    <w:p w14:paraId="2AF8E26E" w14:textId="013E6D94" w:rsidR="0056345B" w:rsidRDefault="0056345B" w:rsidP="0056345B">
      <w:pPr>
        <w:pStyle w:val="CDITable-Title"/>
      </w:pPr>
      <w:r w:rsidRPr="0056345B">
        <w:t>Table A.1: Exposures among Australian-born serological participants reporting no previous exposure or vaccination, March 2022</w:t>
      </w:r>
    </w:p>
    <w:tbl>
      <w:tblPr>
        <w:tblW w:w="14343" w:type="dxa"/>
        <w:tblLayout w:type="fixed"/>
        <w:tblCellMar>
          <w:left w:w="0" w:type="dxa"/>
          <w:right w:w="0" w:type="dxa"/>
        </w:tblCellMar>
        <w:tblLook w:val="0000" w:firstRow="0" w:lastRow="0" w:firstColumn="0" w:lastColumn="0" w:noHBand="0" w:noVBand="0"/>
        <w:tblCaption w:val="Table A.1: Exposures among Australian-born serological participants reporting no previous exposure or vaccination, March 2022"/>
        <w:tblDescription w:val="Table A.1 shows the odds ratio and p-value for risk variables associated with Japanese encephalitis among Australian-born serological participants reporting no previous exposure or vaccination. Recreational/residential risk variables tested here are: visited or worked at agricultural show; went for walks along river; and use of insect repellent."/>
      </w:tblPr>
      <w:tblGrid>
        <w:gridCol w:w="1701"/>
        <w:gridCol w:w="5272"/>
        <w:gridCol w:w="1053"/>
        <w:gridCol w:w="1053"/>
        <w:gridCol w:w="1053"/>
        <w:gridCol w:w="1053"/>
        <w:gridCol w:w="1053"/>
        <w:gridCol w:w="1052"/>
        <w:gridCol w:w="1053"/>
      </w:tblGrid>
      <w:tr w:rsidR="0056345B" w:rsidRPr="0040065C" w14:paraId="2F3BDE37" w14:textId="77777777" w:rsidTr="00032BAE">
        <w:trPr>
          <w:trHeight w:val="20"/>
          <w:tblHeader/>
        </w:trPr>
        <w:tc>
          <w:tcPr>
            <w:tcW w:w="1701" w:type="dxa"/>
            <w:vMerge w:val="restart"/>
            <w:shd w:val="clear" w:color="auto" w:fill="033636" w:themeFill="text2"/>
            <w:tcMar>
              <w:top w:w="113" w:type="dxa"/>
              <w:left w:w="113" w:type="dxa"/>
              <w:bottom w:w="113" w:type="dxa"/>
              <w:right w:w="113" w:type="dxa"/>
            </w:tcMar>
            <w:vAlign w:val="bottom"/>
          </w:tcPr>
          <w:p w14:paraId="0AE72937" w14:textId="77777777" w:rsidR="0056345B" w:rsidRPr="0040065C" w:rsidRDefault="0056345B" w:rsidP="00032BAE">
            <w:pPr>
              <w:pStyle w:val="CDIFigure-Table-H1Left"/>
            </w:pPr>
            <w:r w:rsidRPr="0040065C">
              <w:t>Setting type</w:t>
            </w:r>
          </w:p>
        </w:tc>
        <w:tc>
          <w:tcPr>
            <w:tcW w:w="5272" w:type="dxa"/>
            <w:vMerge w:val="restart"/>
            <w:shd w:val="clear" w:color="auto" w:fill="033636" w:themeFill="text2"/>
            <w:tcMar>
              <w:top w:w="113" w:type="dxa"/>
              <w:left w:w="113" w:type="dxa"/>
              <w:bottom w:w="113" w:type="dxa"/>
              <w:right w:w="113" w:type="dxa"/>
            </w:tcMar>
            <w:vAlign w:val="bottom"/>
          </w:tcPr>
          <w:p w14:paraId="6124E06C" w14:textId="77777777" w:rsidR="0056345B" w:rsidRPr="0040065C" w:rsidRDefault="0056345B" w:rsidP="00032BAE">
            <w:pPr>
              <w:pStyle w:val="CDIFigure-Table-H1Left"/>
            </w:pPr>
            <w:r w:rsidRPr="0040065C">
              <w:t>Risk variable</w:t>
            </w:r>
          </w:p>
        </w:tc>
        <w:tc>
          <w:tcPr>
            <w:tcW w:w="2106" w:type="dxa"/>
            <w:gridSpan w:val="2"/>
            <w:tcBorders>
              <w:bottom w:val="single" w:sz="4" w:space="0" w:color="FFFFFF" w:themeColor="background1"/>
            </w:tcBorders>
            <w:shd w:val="clear" w:color="auto" w:fill="033636" w:themeFill="text2"/>
            <w:tcMar>
              <w:top w:w="113" w:type="dxa"/>
              <w:left w:w="113" w:type="dxa"/>
              <w:bottom w:w="113" w:type="dxa"/>
              <w:right w:w="113" w:type="dxa"/>
            </w:tcMar>
            <w:vAlign w:val="bottom"/>
          </w:tcPr>
          <w:p w14:paraId="5EC266F9" w14:textId="77777777" w:rsidR="0056345B" w:rsidRPr="0040065C" w:rsidRDefault="0056345B" w:rsidP="00032BAE">
            <w:pPr>
              <w:pStyle w:val="CDIFigure-Table-H1"/>
            </w:pPr>
            <w:r w:rsidRPr="0040065C">
              <w:t>Seropositive</w:t>
            </w:r>
            <w:r w:rsidRPr="0040065C">
              <w:br/>
              <w:t>(N =10)</w:t>
            </w:r>
          </w:p>
        </w:tc>
        <w:tc>
          <w:tcPr>
            <w:tcW w:w="2106" w:type="dxa"/>
            <w:gridSpan w:val="2"/>
            <w:tcBorders>
              <w:bottom w:val="single" w:sz="4" w:space="0" w:color="FFFFFF" w:themeColor="background1"/>
            </w:tcBorders>
            <w:shd w:val="clear" w:color="auto" w:fill="033636" w:themeFill="text2"/>
            <w:tcMar>
              <w:top w:w="113" w:type="dxa"/>
              <w:left w:w="113" w:type="dxa"/>
              <w:bottom w:w="113" w:type="dxa"/>
              <w:right w:w="113" w:type="dxa"/>
            </w:tcMar>
            <w:vAlign w:val="bottom"/>
          </w:tcPr>
          <w:p w14:paraId="62F55332" w14:textId="77777777" w:rsidR="0056345B" w:rsidRPr="0040065C" w:rsidRDefault="0056345B" w:rsidP="00032BAE">
            <w:pPr>
              <w:pStyle w:val="CDIFigure-Table-H1"/>
            </w:pPr>
            <w:r w:rsidRPr="0040065C">
              <w:t>Seronegative</w:t>
            </w:r>
            <w:r w:rsidRPr="0040065C">
              <w:br/>
              <w:t>(N = 119)</w:t>
            </w:r>
          </w:p>
        </w:tc>
        <w:tc>
          <w:tcPr>
            <w:tcW w:w="1053" w:type="dxa"/>
            <w:vMerge w:val="restart"/>
            <w:shd w:val="clear" w:color="auto" w:fill="033636" w:themeFill="text2"/>
            <w:tcMar>
              <w:top w:w="113" w:type="dxa"/>
              <w:left w:w="113" w:type="dxa"/>
              <w:bottom w:w="113" w:type="dxa"/>
              <w:right w:w="113" w:type="dxa"/>
            </w:tcMar>
            <w:vAlign w:val="bottom"/>
          </w:tcPr>
          <w:p w14:paraId="78857EDA" w14:textId="77777777" w:rsidR="0056345B" w:rsidRPr="0040065C" w:rsidRDefault="0056345B" w:rsidP="00032BAE">
            <w:pPr>
              <w:pStyle w:val="CDIFigure-Table-H1"/>
            </w:pPr>
            <w:proofErr w:type="spellStart"/>
            <w:r w:rsidRPr="0040065C">
              <w:t>POR</w:t>
            </w:r>
            <w:r w:rsidRPr="0040065C">
              <w:rPr>
                <w:vertAlign w:val="superscript"/>
              </w:rPr>
              <w:t>a</w:t>
            </w:r>
            <w:proofErr w:type="spellEnd"/>
          </w:p>
        </w:tc>
        <w:tc>
          <w:tcPr>
            <w:tcW w:w="1052" w:type="dxa"/>
            <w:vMerge w:val="restart"/>
            <w:shd w:val="clear" w:color="auto" w:fill="033636" w:themeFill="text2"/>
            <w:tcMar>
              <w:top w:w="113" w:type="dxa"/>
              <w:left w:w="113" w:type="dxa"/>
              <w:bottom w:w="113" w:type="dxa"/>
              <w:right w:w="113" w:type="dxa"/>
            </w:tcMar>
            <w:vAlign w:val="bottom"/>
          </w:tcPr>
          <w:p w14:paraId="34605B4B" w14:textId="77777777" w:rsidR="0056345B" w:rsidRPr="0040065C" w:rsidRDefault="0056345B" w:rsidP="00032BAE">
            <w:pPr>
              <w:pStyle w:val="CDIFigure-Table-H1"/>
            </w:pPr>
            <w:r w:rsidRPr="0040065C">
              <w:t xml:space="preserve">95% </w:t>
            </w:r>
            <w:proofErr w:type="spellStart"/>
            <w:r w:rsidRPr="0040065C">
              <w:t>CI</w:t>
            </w:r>
            <w:r w:rsidRPr="0040065C">
              <w:rPr>
                <w:vertAlign w:val="superscript"/>
              </w:rPr>
              <w:t>b</w:t>
            </w:r>
            <w:proofErr w:type="spellEnd"/>
          </w:p>
        </w:tc>
        <w:tc>
          <w:tcPr>
            <w:tcW w:w="1053" w:type="dxa"/>
            <w:vMerge w:val="restart"/>
            <w:shd w:val="clear" w:color="auto" w:fill="033636" w:themeFill="text2"/>
            <w:tcMar>
              <w:top w:w="113" w:type="dxa"/>
              <w:left w:w="113" w:type="dxa"/>
              <w:bottom w:w="113" w:type="dxa"/>
              <w:right w:w="113" w:type="dxa"/>
            </w:tcMar>
            <w:vAlign w:val="bottom"/>
          </w:tcPr>
          <w:p w14:paraId="6F9B2DE0" w14:textId="77777777" w:rsidR="0056345B" w:rsidRPr="0040065C" w:rsidRDefault="0056345B" w:rsidP="00032BAE">
            <w:pPr>
              <w:pStyle w:val="CDIFigure-Table-H1"/>
            </w:pPr>
            <w:r w:rsidRPr="0040065C">
              <w:rPr>
                <w:i/>
                <w:iCs/>
              </w:rPr>
              <w:t>p</w:t>
            </w:r>
            <w:r w:rsidRPr="0040065C">
              <w:t xml:space="preserve"> value</w:t>
            </w:r>
          </w:p>
        </w:tc>
      </w:tr>
      <w:tr w:rsidR="0056345B" w:rsidRPr="0040065C" w14:paraId="71111483" w14:textId="77777777" w:rsidTr="00032BAE">
        <w:trPr>
          <w:trHeight w:val="20"/>
          <w:tblHeader/>
        </w:trPr>
        <w:tc>
          <w:tcPr>
            <w:tcW w:w="1701" w:type="dxa"/>
            <w:vMerge/>
            <w:shd w:val="clear" w:color="auto" w:fill="033636" w:themeFill="text2"/>
          </w:tcPr>
          <w:p w14:paraId="26C8B6EE" w14:textId="77777777" w:rsidR="0056345B" w:rsidRPr="0040065C" w:rsidRDefault="0056345B" w:rsidP="00032BAE"/>
        </w:tc>
        <w:tc>
          <w:tcPr>
            <w:tcW w:w="5272" w:type="dxa"/>
            <w:vMerge/>
            <w:shd w:val="clear" w:color="auto" w:fill="033636" w:themeFill="text2"/>
          </w:tcPr>
          <w:p w14:paraId="7D1E7EDB" w14:textId="77777777" w:rsidR="0056345B" w:rsidRPr="0040065C" w:rsidRDefault="0056345B" w:rsidP="00032BAE"/>
        </w:tc>
        <w:tc>
          <w:tcPr>
            <w:tcW w:w="1053" w:type="dxa"/>
            <w:tcBorders>
              <w:top w:val="single" w:sz="4" w:space="0" w:color="FFFFFF" w:themeColor="background1"/>
            </w:tcBorders>
            <w:shd w:val="clear" w:color="auto" w:fill="033636" w:themeFill="text2"/>
            <w:tcMar>
              <w:top w:w="113" w:type="dxa"/>
              <w:left w:w="113" w:type="dxa"/>
              <w:bottom w:w="113" w:type="dxa"/>
              <w:right w:w="113" w:type="dxa"/>
            </w:tcMar>
            <w:vAlign w:val="bottom"/>
          </w:tcPr>
          <w:p w14:paraId="15F592D2" w14:textId="77777777" w:rsidR="0056345B" w:rsidRPr="0040065C" w:rsidRDefault="0056345B" w:rsidP="00032BAE">
            <w:pPr>
              <w:pStyle w:val="CDIFigure-Table-H1"/>
            </w:pPr>
            <w:r w:rsidRPr="0040065C">
              <w:t>n</w:t>
            </w:r>
          </w:p>
        </w:tc>
        <w:tc>
          <w:tcPr>
            <w:tcW w:w="1053" w:type="dxa"/>
            <w:tcBorders>
              <w:top w:val="single" w:sz="4" w:space="0" w:color="FFFFFF" w:themeColor="background1"/>
            </w:tcBorders>
            <w:shd w:val="clear" w:color="auto" w:fill="033636" w:themeFill="text2"/>
            <w:tcMar>
              <w:top w:w="113" w:type="dxa"/>
              <w:left w:w="113" w:type="dxa"/>
              <w:bottom w:w="113" w:type="dxa"/>
              <w:right w:w="113" w:type="dxa"/>
            </w:tcMar>
            <w:vAlign w:val="bottom"/>
          </w:tcPr>
          <w:p w14:paraId="090E2E20" w14:textId="77777777" w:rsidR="0056345B" w:rsidRPr="0040065C" w:rsidRDefault="0056345B" w:rsidP="00032BAE">
            <w:pPr>
              <w:pStyle w:val="CDIFigure-Table-H1"/>
            </w:pPr>
            <w:r w:rsidRPr="0040065C">
              <w:t>%</w:t>
            </w:r>
          </w:p>
        </w:tc>
        <w:tc>
          <w:tcPr>
            <w:tcW w:w="1053" w:type="dxa"/>
            <w:tcBorders>
              <w:top w:val="single" w:sz="4" w:space="0" w:color="FFFFFF" w:themeColor="background1"/>
            </w:tcBorders>
            <w:shd w:val="clear" w:color="auto" w:fill="033636" w:themeFill="text2"/>
            <w:tcMar>
              <w:top w:w="113" w:type="dxa"/>
              <w:left w:w="113" w:type="dxa"/>
              <w:bottom w:w="113" w:type="dxa"/>
              <w:right w:w="113" w:type="dxa"/>
            </w:tcMar>
            <w:vAlign w:val="bottom"/>
          </w:tcPr>
          <w:p w14:paraId="000C3F12" w14:textId="77777777" w:rsidR="0056345B" w:rsidRPr="0040065C" w:rsidRDefault="0056345B" w:rsidP="00032BAE">
            <w:pPr>
              <w:pStyle w:val="CDIFigure-Table-H1"/>
            </w:pPr>
            <w:r w:rsidRPr="0040065C">
              <w:t>n</w:t>
            </w:r>
          </w:p>
        </w:tc>
        <w:tc>
          <w:tcPr>
            <w:tcW w:w="1053" w:type="dxa"/>
            <w:tcBorders>
              <w:top w:val="single" w:sz="4" w:space="0" w:color="FFFFFF" w:themeColor="background1"/>
            </w:tcBorders>
            <w:shd w:val="clear" w:color="auto" w:fill="033636" w:themeFill="text2"/>
            <w:tcMar>
              <w:top w:w="113" w:type="dxa"/>
              <w:left w:w="113" w:type="dxa"/>
              <w:bottom w:w="113" w:type="dxa"/>
              <w:right w:w="113" w:type="dxa"/>
            </w:tcMar>
            <w:vAlign w:val="bottom"/>
          </w:tcPr>
          <w:p w14:paraId="70DC46EA" w14:textId="77777777" w:rsidR="0056345B" w:rsidRPr="0040065C" w:rsidRDefault="0056345B" w:rsidP="00032BAE">
            <w:pPr>
              <w:pStyle w:val="CDIFigure-Table-H1"/>
            </w:pPr>
            <w:r w:rsidRPr="0040065C">
              <w:t>%</w:t>
            </w:r>
          </w:p>
        </w:tc>
        <w:tc>
          <w:tcPr>
            <w:tcW w:w="1053" w:type="dxa"/>
            <w:vMerge/>
            <w:shd w:val="clear" w:color="auto" w:fill="033636" w:themeFill="text2"/>
          </w:tcPr>
          <w:p w14:paraId="4D9973BF" w14:textId="77777777" w:rsidR="0056345B" w:rsidRPr="0040065C" w:rsidRDefault="0056345B" w:rsidP="00032BAE">
            <w:pPr>
              <w:pStyle w:val="CDIFigure-Table-H1"/>
            </w:pPr>
          </w:p>
        </w:tc>
        <w:tc>
          <w:tcPr>
            <w:tcW w:w="1052" w:type="dxa"/>
            <w:vMerge/>
            <w:shd w:val="clear" w:color="auto" w:fill="033636" w:themeFill="text2"/>
          </w:tcPr>
          <w:p w14:paraId="12FA4DDE" w14:textId="77777777" w:rsidR="0056345B" w:rsidRPr="0040065C" w:rsidRDefault="0056345B" w:rsidP="00032BAE">
            <w:pPr>
              <w:pStyle w:val="CDIFigure-Table-H1"/>
            </w:pPr>
          </w:p>
        </w:tc>
        <w:tc>
          <w:tcPr>
            <w:tcW w:w="1053" w:type="dxa"/>
            <w:vMerge/>
            <w:shd w:val="clear" w:color="auto" w:fill="033636" w:themeFill="text2"/>
          </w:tcPr>
          <w:p w14:paraId="2789EB35" w14:textId="77777777" w:rsidR="0056345B" w:rsidRPr="0040065C" w:rsidRDefault="0056345B" w:rsidP="00032BAE">
            <w:pPr>
              <w:pStyle w:val="CDIFigure-Table-H1"/>
            </w:pPr>
          </w:p>
        </w:tc>
      </w:tr>
      <w:tr w:rsidR="0056345B" w:rsidRPr="0040065C" w14:paraId="482A1073" w14:textId="77777777" w:rsidTr="00032BAE">
        <w:trPr>
          <w:trHeight w:val="20"/>
        </w:trPr>
        <w:tc>
          <w:tcPr>
            <w:tcW w:w="1701" w:type="dxa"/>
            <w:vMerge w:val="restart"/>
            <w:tcBorders>
              <w:bottom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374CD1A3" w14:textId="77777777" w:rsidR="0056345B" w:rsidRPr="0040065C" w:rsidRDefault="0056345B" w:rsidP="00032BAE">
            <w:pPr>
              <w:pStyle w:val="CDIFigure-Table-BodyTextLeft"/>
            </w:pPr>
            <w:r w:rsidRPr="0040065C">
              <w:t>Recreational/</w:t>
            </w:r>
            <w:r>
              <w:br/>
            </w:r>
            <w:r w:rsidRPr="0040065C">
              <w:t>residential</w:t>
            </w:r>
            <w:r>
              <w:t xml:space="preserve"> </w:t>
            </w:r>
            <w:r w:rsidRPr="0040065C">
              <w:t>only</w:t>
            </w:r>
          </w:p>
        </w:tc>
        <w:tc>
          <w:tcPr>
            <w:tcW w:w="5272" w:type="dxa"/>
            <w:shd w:val="clear" w:color="auto" w:fill="F2F2F2" w:themeFill="background1" w:themeFillShade="F2"/>
            <w:tcMar>
              <w:top w:w="113" w:type="dxa"/>
              <w:left w:w="113" w:type="dxa"/>
              <w:bottom w:w="113" w:type="dxa"/>
              <w:right w:w="113" w:type="dxa"/>
            </w:tcMar>
            <w:vAlign w:val="center"/>
          </w:tcPr>
          <w:p w14:paraId="1913315C" w14:textId="77777777" w:rsidR="0056345B" w:rsidRPr="0040065C" w:rsidRDefault="0056345B" w:rsidP="00E315AB">
            <w:pPr>
              <w:pStyle w:val="CDIFigure-Table-BodyTextLeft"/>
            </w:pPr>
            <w:r w:rsidRPr="0040065C">
              <w:t>Visited or worked at agricultural show</w:t>
            </w:r>
          </w:p>
        </w:tc>
        <w:tc>
          <w:tcPr>
            <w:tcW w:w="1053" w:type="dxa"/>
            <w:shd w:val="clear" w:color="auto" w:fill="F2F2F2" w:themeFill="background1" w:themeFillShade="F2"/>
            <w:tcMar>
              <w:top w:w="113" w:type="dxa"/>
              <w:left w:w="113" w:type="dxa"/>
              <w:bottom w:w="113" w:type="dxa"/>
              <w:right w:w="113" w:type="dxa"/>
            </w:tcMar>
            <w:vAlign w:val="center"/>
          </w:tcPr>
          <w:p w14:paraId="1059536B" w14:textId="77777777" w:rsidR="0056345B" w:rsidRPr="0040065C" w:rsidRDefault="0056345B" w:rsidP="00032BAE">
            <w:pPr>
              <w:pStyle w:val="CDIFigure-Table-BodyTextCentre"/>
            </w:pPr>
            <w:r w:rsidRPr="0040065C">
              <w:t>0</w:t>
            </w:r>
          </w:p>
        </w:tc>
        <w:tc>
          <w:tcPr>
            <w:tcW w:w="1053" w:type="dxa"/>
            <w:shd w:val="clear" w:color="auto" w:fill="F2F2F2" w:themeFill="background1" w:themeFillShade="F2"/>
            <w:tcMar>
              <w:top w:w="113" w:type="dxa"/>
              <w:left w:w="113" w:type="dxa"/>
              <w:bottom w:w="113" w:type="dxa"/>
              <w:right w:w="113" w:type="dxa"/>
            </w:tcMar>
            <w:vAlign w:val="center"/>
          </w:tcPr>
          <w:p w14:paraId="4DE1DDCD" w14:textId="77777777" w:rsidR="0056345B" w:rsidRPr="0040065C" w:rsidRDefault="0056345B" w:rsidP="00032BAE">
            <w:pPr>
              <w:pStyle w:val="CDIFigure-Table-BodyTextCentre"/>
            </w:pPr>
            <w:r w:rsidRPr="0040065C">
              <w:t>0.0%</w:t>
            </w:r>
          </w:p>
        </w:tc>
        <w:tc>
          <w:tcPr>
            <w:tcW w:w="1053" w:type="dxa"/>
            <w:shd w:val="clear" w:color="auto" w:fill="F2F2F2" w:themeFill="background1" w:themeFillShade="F2"/>
            <w:tcMar>
              <w:top w:w="113" w:type="dxa"/>
              <w:left w:w="113" w:type="dxa"/>
              <w:bottom w:w="113" w:type="dxa"/>
              <w:right w:w="113" w:type="dxa"/>
            </w:tcMar>
            <w:vAlign w:val="center"/>
          </w:tcPr>
          <w:p w14:paraId="6D06E892" w14:textId="77777777" w:rsidR="0056345B" w:rsidRPr="0040065C" w:rsidRDefault="0056345B" w:rsidP="00032BAE">
            <w:pPr>
              <w:pStyle w:val="CDIFigure-Table-BodyTextCentre"/>
            </w:pPr>
            <w:r w:rsidRPr="0040065C">
              <w:t>0</w:t>
            </w:r>
          </w:p>
        </w:tc>
        <w:tc>
          <w:tcPr>
            <w:tcW w:w="1053" w:type="dxa"/>
            <w:shd w:val="clear" w:color="auto" w:fill="F2F2F2" w:themeFill="background1" w:themeFillShade="F2"/>
            <w:tcMar>
              <w:top w:w="113" w:type="dxa"/>
              <w:left w:w="113" w:type="dxa"/>
              <w:bottom w:w="113" w:type="dxa"/>
              <w:right w:w="113" w:type="dxa"/>
            </w:tcMar>
            <w:vAlign w:val="center"/>
          </w:tcPr>
          <w:p w14:paraId="3D1526D8" w14:textId="77777777" w:rsidR="0056345B" w:rsidRPr="0040065C" w:rsidRDefault="0056345B" w:rsidP="00032BAE">
            <w:pPr>
              <w:pStyle w:val="CDIFigure-Table-BodyTextCentre"/>
            </w:pPr>
            <w:r w:rsidRPr="0040065C">
              <w:t>0.0%</w:t>
            </w:r>
          </w:p>
        </w:tc>
        <w:tc>
          <w:tcPr>
            <w:tcW w:w="1053" w:type="dxa"/>
            <w:shd w:val="clear" w:color="auto" w:fill="F2F2F2" w:themeFill="background1" w:themeFillShade="F2"/>
            <w:tcMar>
              <w:top w:w="113" w:type="dxa"/>
              <w:left w:w="113" w:type="dxa"/>
              <w:bottom w:w="113" w:type="dxa"/>
              <w:right w:w="113" w:type="dxa"/>
            </w:tcMar>
            <w:vAlign w:val="center"/>
          </w:tcPr>
          <w:p w14:paraId="6F800568" w14:textId="77777777" w:rsidR="0056345B" w:rsidRPr="0040065C" w:rsidRDefault="0056345B" w:rsidP="00032BAE">
            <w:pPr>
              <w:pStyle w:val="CDIFigure-Table-BodyTextCentre"/>
            </w:pPr>
            <w:r w:rsidRPr="0040065C">
              <w:t>—</w:t>
            </w:r>
          </w:p>
        </w:tc>
        <w:tc>
          <w:tcPr>
            <w:tcW w:w="1052" w:type="dxa"/>
            <w:shd w:val="clear" w:color="auto" w:fill="F2F2F2" w:themeFill="background1" w:themeFillShade="F2"/>
            <w:tcMar>
              <w:top w:w="113" w:type="dxa"/>
              <w:left w:w="113" w:type="dxa"/>
              <w:bottom w:w="113" w:type="dxa"/>
              <w:right w:w="113" w:type="dxa"/>
            </w:tcMar>
            <w:vAlign w:val="center"/>
          </w:tcPr>
          <w:p w14:paraId="1D5C57ED" w14:textId="77777777" w:rsidR="0056345B" w:rsidRPr="0040065C" w:rsidRDefault="0056345B" w:rsidP="00032BAE">
            <w:pPr>
              <w:pStyle w:val="CDIFigure-Table-BodyTextCentre"/>
            </w:pPr>
            <w:r w:rsidRPr="0040065C">
              <w:t>—</w:t>
            </w:r>
          </w:p>
        </w:tc>
        <w:tc>
          <w:tcPr>
            <w:tcW w:w="1053" w:type="dxa"/>
            <w:shd w:val="clear" w:color="auto" w:fill="F2F2F2" w:themeFill="background1" w:themeFillShade="F2"/>
            <w:tcMar>
              <w:top w:w="113" w:type="dxa"/>
              <w:left w:w="113" w:type="dxa"/>
              <w:bottom w:w="113" w:type="dxa"/>
              <w:right w:w="113" w:type="dxa"/>
            </w:tcMar>
            <w:vAlign w:val="center"/>
          </w:tcPr>
          <w:p w14:paraId="7AA5DD5C" w14:textId="77777777" w:rsidR="0056345B" w:rsidRPr="0040065C" w:rsidRDefault="0056345B" w:rsidP="00032BAE">
            <w:pPr>
              <w:pStyle w:val="CDIFigure-Table-BodyTextCentre"/>
            </w:pPr>
            <w:r w:rsidRPr="0040065C">
              <w:t>—</w:t>
            </w:r>
          </w:p>
        </w:tc>
      </w:tr>
      <w:tr w:rsidR="0056345B" w:rsidRPr="0040065C" w14:paraId="2B795250" w14:textId="77777777" w:rsidTr="00032BAE">
        <w:trPr>
          <w:trHeight w:val="20"/>
        </w:trPr>
        <w:tc>
          <w:tcPr>
            <w:tcW w:w="1701" w:type="dxa"/>
            <w:vMerge/>
            <w:tcBorders>
              <w:bottom w:val="single" w:sz="4" w:space="0" w:color="033636" w:themeColor="text2"/>
            </w:tcBorders>
            <w:shd w:val="clear" w:color="auto" w:fill="C5FFEF" w:themeFill="background2" w:themeFillTint="33"/>
          </w:tcPr>
          <w:p w14:paraId="10C5F9B3" w14:textId="77777777" w:rsidR="0056345B" w:rsidRPr="0040065C" w:rsidRDefault="0056345B" w:rsidP="00032BAE"/>
        </w:tc>
        <w:tc>
          <w:tcPr>
            <w:tcW w:w="5272" w:type="dxa"/>
            <w:tcMar>
              <w:top w:w="113" w:type="dxa"/>
              <w:left w:w="113" w:type="dxa"/>
              <w:bottom w:w="113" w:type="dxa"/>
              <w:right w:w="113" w:type="dxa"/>
            </w:tcMar>
            <w:vAlign w:val="center"/>
          </w:tcPr>
          <w:p w14:paraId="16090D6A" w14:textId="77777777" w:rsidR="0056345B" w:rsidRPr="0040065C" w:rsidRDefault="0056345B" w:rsidP="00032BAE">
            <w:pPr>
              <w:pStyle w:val="CDIFigure-Table-BodyTextLeft"/>
            </w:pPr>
            <w:r w:rsidRPr="0040065C">
              <w:t>Walks along river</w:t>
            </w:r>
          </w:p>
        </w:tc>
        <w:tc>
          <w:tcPr>
            <w:tcW w:w="1053" w:type="dxa"/>
            <w:tcMar>
              <w:top w:w="113" w:type="dxa"/>
              <w:left w:w="113" w:type="dxa"/>
              <w:bottom w:w="113" w:type="dxa"/>
              <w:right w:w="113" w:type="dxa"/>
            </w:tcMar>
            <w:vAlign w:val="center"/>
          </w:tcPr>
          <w:p w14:paraId="745456A0" w14:textId="77777777" w:rsidR="0056345B" w:rsidRPr="0040065C" w:rsidRDefault="0056345B" w:rsidP="00032BAE">
            <w:pPr>
              <w:pStyle w:val="CDIFigure-Table-BodyTextCentre"/>
            </w:pPr>
            <w:r w:rsidRPr="0040065C">
              <w:t>3</w:t>
            </w:r>
          </w:p>
        </w:tc>
        <w:tc>
          <w:tcPr>
            <w:tcW w:w="1053" w:type="dxa"/>
            <w:tcMar>
              <w:top w:w="113" w:type="dxa"/>
              <w:left w:w="113" w:type="dxa"/>
              <w:bottom w:w="113" w:type="dxa"/>
              <w:right w:w="113" w:type="dxa"/>
            </w:tcMar>
            <w:vAlign w:val="center"/>
          </w:tcPr>
          <w:p w14:paraId="628C1E07" w14:textId="77777777" w:rsidR="0056345B" w:rsidRPr="0040065C" w:rsidRDefault="0056345B" w:rsidP="00032BAE">
            <w:pPr>
              <w:pStyle w:val="CDIFigure-Table-BodyTextCentre"/>
            </w:pPr>
            <w:r w:rsidRPr="0040065C">
              <w:t>30.0%</w:t>
            </w:r>
          </w:p>
        </w:tc>
        <w:tc>
          <w:tcPr>
            <w:tcW w:w="1053" w:type="dxa"/>
            <w:tcMar>
              <w:top w:w="113" w:type="dxa"/>
              <w:left w:w="113" w:type="dxa"/>
              <w:bottom w:w="113" w:type="dxa"/>
              <w:right w:w="113" w:type="dxa"/>
            </w:tcMar>
            <w:vAlign w:val="center"/>
          </w:tcPr>
          <w:p w14:paraId="3468CD95" w14:textId="77777777" w:rsidR="0056345B" w:rsidRPr="0040065C" w:rsidRDefault="0056345B" w:rsidP="00032BAE">
            <w:pPr>
              <w:pStyle w:val="CDIFigure-Table-BodyTextCentre"/>
            </w:pPr>
            <w:r w:rsidRPr="0040065C">
              <w:t>50</w:t>
            </w:r>
          </w:p>
        </w:tc>
        <w:tc>
          <w:tcPr>
            <w:tcW w:w="1053" w:type="dxa"/>
            <w:tcMar>
              <w:top w:w="113" w:type="dxa"/>
              <w:left w:w="113" w:type="dxa"/>
              <w:bottom w:w="113" w:type="dxa"/>
              <w:right w:w="113" w:type="dxa"/>
            </w:tcMar>
            <w:vAlign w:val="center"/>
          </w:tcPr>
          <w:p w14:paraId="33A39B35" w14:textId="77777777" w:rsidR="0056345B" w:rsidRPr="0040065C" w:rsidRDefault="0056345B" w:rsidP="00032BAE">
            <w:pPr>
              <w:pStyle w:val="CDIFigure-Table-BodyTextCentre"/>
            </w:pPr>
            <w:r w:rsidRPr="0040065C">
              <w:t>42.0%</w:t>
            </w:r>
          </w:p>
        </w:tc>
        <w:tc>
          <w:tcPr>
            <w:tcW w:w="1053" w:type="dxa"/>
            <w:tcMar>
              <w:top w:w="113" w:type="dxa"/>
              <w:left w:w="113" w:type="dxa"/>
              <w:bottom w:w="113" w:type="dxa"/>
              <w:right w:w="113" w:type="dxa"/>
            </w:tcMar>
            <w:vAlign w:val="center"/>
          </w:tcPr>
          <w:p w14:paraId="2685FE12" w14:textId="77777777" w:rsidR="0056345B" w:rsidRPr="0040065C" w:rsidRDefault="0056345B" w:rsidP="00032BAE">
            <w:pPr>
              <w:pStyle w:val="CDIFigure-Table-BodyTextCentre"/>
            </w:pPr>
            <w:r w:rsidRPr="0040065C">
              <w:t>0.59</w:t>
            </w:r>
          </w:p>
        </w:tc>
        <w:tc>
          <w:tcPr>
            <w:tcW w:w="1052" w:type="dxa"/>
            <w:tcMar>
              <w:top w:w="113" w:type="dxa"/>
              <w:left w:w="113" w:type="dxa"/>
              <w:bottom w:w="113" w:type="dxa"/>
              <w:right w:w="113" w:type="dxa"/>
            </w:tcMar>
            <w:vAlign w:val="center"/>
          </w:tcPr>
          <w:p w14:paraId="7D70CCC1" w14:textId="77777777" w:rsidR="0056345B" w:rsidRPr="0040065C" w:rsidRDefault="0056345B" w:rsidP="00032BAE">
            <w:pPr>
              <w:pStyle w:val="CDIFigure-Table-BodyTextCentre"/>
            </w:pPr>
            <w:r w:rsidRPr="0040065C">
              <w:t>0.15–2.40</w:t>
            </w:r>
          </w:p>
        </w:tc>
        <w:tc>
          <w:tcPr>
            <w:tcW w:w="1053" w:type="dxa"/>
            <w:tcMar>
              <w:top w:w="113" w:type="dxa"/>
              <w:left w:w="113" w:type="dxa"/>
              <w:bottom w:w="113" w:type="dxa"/>
              <w:right w:w="113" w:type="dxa"/>
            </w:tcMar>
            <w:vAlign w:val="center"/>
          </w:tcPr>
          <w:p w14:paraId="6B6C0E9B" w14:textId="77777777" w:rsidR="0056345B" w:rsidRPr="0040065C" w:rsidRDefault="0056345B" w:rsidP="00032BAE">
            <w:pPr>
              <w:pStyle w:val="CDIFigure-Table-BodyTextCentre"/>
            </w:pPr>
            <w:r w:rsidRPr="0040065C">
              <w:t>0.52</w:t>
            </w:r>
          </w:p>
        </w:tc>
      </w:tr>
      <w:tr w:rsidR="0056345B" w:rsidRPr="0040065C" w14:paraId="59F6AA3A" w14:textId="77777777" w:rsidTr="00032BAE">
        <w:trPr>
          <w:trHeight w:val="20"/>
        </w:trPr>
        <w:tc>
          <w:tcPr>
            <w:tcW w:w="1701" w:type="dxa"/>
            <w:vMerge/>
            <w:tcBorders>
              <w:bottom w:val="single" w:sz="4" w:space="0" w:color="033636" w:themeColor="text2"/>
            </w:tcBorders>
            <w:shd w:val="clear" w:color="auto" w:fill="C5FFEF" w:themeFill="background2" w:themeFillTint="33"/>
          </w:tcPr>
          <w:p w14:paraId="6857803B" w14:textId="77777777" w:rsidR="0056345B" w:rsidRPr="0040065C" w:rsidRDefault="0056345B" w:rsidP="00032BAE"/>
        </w:tc>
        <w:tc>
          <w:tcPr>
            <w:tcW w:w="5272"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7FDF47F9" w14:textId="77777777" w:rsidR="0056345B" w:rsidRPr="0040065C" w:rsidRDefault="0056345B" w:rsidP="00032BAE">
            <w:pPr>
              <w:pStyle w:val="CDIFigure-Table-BodyTextLeft"/>
            </w:pPr>
            <w:r w:rsidRPr="0040065C">
              <w:t>Use of insect repellent</w:t>
            </w:r>
          </w:p>
        </w:tc>
        <w:tc>
          <w:tcPr>
            <w:tcW w:w="1053"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33D914EB" w14:textId="77777777" w:rsidR="0056345B" w:rsidRPr="0040065C" w:rsidRDefault="0056345B" w:rsidP="00032BAE">
            <w:pPr>
              <w:pStyle w:val="CDIFigure-Table-BodyTextCentre"/>
            </w:pPr>
            <w:r w:rsidRPr="0040065C">
              <w:t>8</w:t>
            </w:r>
          </w:p>
        </w:tc>
        <w:tc>
          <w:tcPr>
            <w:tcW w:w="1053"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2A043FC8" w14:textId="77777777" w:rsidR="0056345B" w:rsidRPr="0040065C" w:rsidRDefault="0056345B" w:rsidP="00032BAE">
            <w:pPr>
              <w:pStyle w:val="CDIFigure-Table-BodyTextCentre"/>
            </w:pPr>
            <w:r w:rsidRPr="0040065C">
              <w:t>80.0%</w:t>
            </w:r>
          </w:p>
        </w:tc>
        <w:tc>
          <w:tcPr>
            <w:tcW w:w="1053"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000FAF48" w14:textId="77777777" w:rsidR="0056345B" w:rsidRPr="0040065C" w:rsidRDefault="0056345B" w:rsidP="00032BAE">
            <w:pPr>
              <w:pStyle w:val="CDIFigure-Table-BodyTextCentre"/>
            </w:pPr>
            <w:r w:rsidRPr="0040065C">
              <w:t>101</w:t>
            </w:r>
          </w:p>
        </w:tc>
        <w:tc>
          <w:tcPr>
            <w:tcW w:w="1053"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74C4058A" w14:textId="77777777" w:rsidR="0056345B" w:rsidRPr="0040065C" w:rsidRDefault="0056345B" w:rsidP="00032BAE">
            <w:pPr>
              <w:pStyle w:val="CDIFigure-Table-BodyTextCentre"/>
            </w:pPr>
            <w:r w:rsidRPr="0040065C">
              <w:t>84.9%</w:t>
            </w:r>
          </w:p>
        </w:tc>
        <w:tc>
          <w:tcPr>
            <w:tcW w:w="1053"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1F157BAB" w14:textId="77777777" w:rsidR="0056345B" w:rsidRPr="0040065C" w:rsidRDefault="0056345B" w:rsidP="00032BAE">
            <w:pPr>
              <w:pStyle w:val="CDIFigure-Table-BodyTextCentre"/>
            </w:pPr>
            <w:r w:rsidRPr="0040065C">
              <w:t>0.71</w:t>
            </w:r>
          </w:p>
        </w:tc>
        <w:tc>
          <w:tcPr>
            <w:tcW w:w="1052"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16360C0A" w14:textId="77777777" w:rsidR="0056345B" w:rsidRPr="0040065C" w:rsidRDefault="0056345B" w:rsidP="00032BAE">
            <w:pPr>
              <w:pStyle w:val="CDIFigure-Table-BodyTextCentre"/>
            </w:pPr>
            <w:r w:rsidRPr="0040065C">
              <w:t>0.14–3.63</w:t>
            </w:r>
          </w:p>
        </w:tc>
        <w:tc>
          <w:tcPr>
            <w:tcW w:w="1053" w:type="dxa"/>
            <w:tcBorders>
              <w:bottom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3278A8F6" w14:textId="77777777" w:rsidR="0056345B" w:rsidRPr="0040065C" w:rsidRDefault="0056345B" w:rsidP="00032BAE">
            <w:pPr>
              <w:pStyle w:val="CDIFigure-Table-BodyTextCentre"/>
            </w:pPr>
            <w:r w:rsidRPr="0040065C">
              <w:t>1</w:t>
            </w:r>
          </w:p>
        </w:tc>
      </w:tr>
    </w:tbl>
    <w:p w14:paraId="1C20E43E" w14:textId="77777777" w:rsidR="0056345B" w:rsidRDefault="0056345B" w:rsidP="0056345B">
      <w:pPr>
        <w:pStyle w:val="CDITable-Firstfootnote"/>
      </w:pPr>
      <w:r>
        <w:t>a</w:t>
      </w:r>
      <w:r>
        <w:tab/>
        <w:t>POR: prevalence odds ratio.</w:t>
      </w:r>
    </w:p>
    <w:p w14:paraId="6941E251" w14:textId="30E26C52" w:rsidR="0056345B" w:rsidRDefault="0056345B" w:rsidP="0056345B">
      <w:pPr>
        <w:pStyle w:val="CDITable-Footnote"/>
      </w:pPr>
      <w:r>
        <w:t>b</w:t>
      </w:r>
      <w:r>
        <w:tab/>
        <w:t>95% CI: 95% confidence interval.</w:t>
      </w:r>
    </w:p>
    <w:p w14:paraId="3915974D" w14:textId="77777777" w:rsidR="0056345B" w:rsidRDefault="0056345B" w:rsidP="0056345B">
      <w:pPr>
        <w:sectPr w:rsidR="0056345B" w:rsidSect="00E315AB">
          <w:footerReference w:type="default" r:id="rId22"/>
          <w:pgSz w:w="16840" w:h="11907" w:orient="landscape" w:code="9"/>
          <w:pgMar w:top="1134" w:right="1304" w:bottom="1134" w:left="1304" w:header="709" w:footer="567" w:gutter="0"/>
          <w:cols w:space="708"/>
          <w:docGrid w:linePitch="360"/>
        </w:sectPr>
      </w:pPr>
    </w:p>
    <w:p w14:paraId="5B6878D1" w14:textId="7AE30CF9" w:rsidR="000705FF" w:rsidRPr="0089025E" w:rsidRDefault="000705FF" w:rsidP="00863F8D">
      <w:pPr>
        <w:pStyle w:val="CDICopyrighttext-lessspace"/>
      </w:pPr>
      <w:r w:rsidRPr="0089025E">
        <w:lastRenderedPageBreak/>
        <w:t xml:space="preserve">© </w:t>
      </w:r>
      <w:fldSimple w:instr=" DOCPROPERTY  Year  \* MERGEFORMAT ">
        <w:r w:rsidR="001373CD">
          <w:t>2025</w:t>
        </w:r>
      </w:fldSimple>
      <w:r w:rsidRPr="0089025E">
        <w:t xml:space="preserve"> Commonwealth of Australia as represented by the </w:t>
      </w:r>
      <w:r w:rsidR="00602AC1">
        <w:t>Department of Health and Aged Care</w:t>
      </w:r>
    </w:p>
    <w:p w14:paraId="51EFD5D2" w14:textId="77777777" w:rsidR="00DE4482" w:rsidRPr="0089025E" w:rsidRDefault="00DE4482" w:rsidP="00C32715">
      <w:pPr>
        <w:pStyle w:val="CDICopyrighttext-lessspace"/>
      </w:pPr>
      <w:r w:rsidRPr="0089025E">
        <w:t>ISSN: 2209-6051 Online</w:t>
      </w:r>
    </w:p>
    <w:p w14:paraId="78EAC8B4" w14:textId="77777777" w:rsidR="00DE4482" w:rsidRDefault="00DE4482" w:rsidP="00C32715">
      <w:pPr>
        <w:pStyle w:val="CDICopyrighttext-lessspace"/>
      </w:pPr>
      <w:r w:rsidRPr="0089025E">
        <w:t>This journal is indexed by Index Medicus and Medline.</w:t>
      </w:r>
    </w:p>
    <w:p w14:paraId="6222A56A" w14:textId="77777777" w:rsidR="006221DD" w:rsidRPr="0089025E" w:rsidRDefault="006221DD" w:rsidP="00C32715">
      <w:pPr>
        <w:pStyle w:val="CDICopyrightheading"/>
      </w:pPr>
      <w:r>
        <w:t>Creative Commons Licence</w:t>
      </w:r>
    </w:p>
    <w:p w14:paraId="6630AF71" w14:textId="77777777" w:rsidR="000705FF" w:rsidRPr="0089025E" w:rsidRDefault="000705FF" w:rsidP="00194A12">
      <w:pPr>
        <w:pStyle w:val="CDICopyrighttext"/>
      </w:pPr>
      <w:r w:rsidRPr="0089025E">
        <w:t>This publication is licensed under a Creative Commons Attribution-NonCommercial-NoDerivatives 4.0 International Licence</w:t>
      </w:r>
      <w:r w:rsidR="00DE4482" w:rsidRPr="0089025E">
        <w:t xml:space="preserve"> (CC BY-NC-ND)</w:t>
      </w:r>
      <w:r w:rsidRPr="0089025E">
        <w:t xml:space="preserve"> </w:t>
      </w:r>
      <w:r w:rsidR="00DE4482" w:rsidRPr="0089025E">
        <w:t xml:space="preserve">available </w:t>
      </w:r>
      <w:r w:rsidRPr="0089025E">
        <w:t xml:space="preserve">from </w:t>
      </w:r>
      <w:r w:rsidRPr="008355D9">
        <w:rPr>
          <w:rFonts w:cstheme="minorHAnsi"/>
        </w:rPr>
        <w:t>https://creativecommons.org/licenses/by-nc-nd/4.0/legalcode</w:t>
      </w:r>
      <w:r w:rsidRPr="0089025E">
        <w:t xml:space="preserve"> (Licence). You</w:t>
      </w:r>
      <w:r w:rsidR="006221DD">
        <w:t> </w:t>
      </w:r>
      <w:r w:rsidRPr="0089025E">
        <w:t>must read and understand the Licence before using any material from this publication.</w:t>
      </w:r>
    </w:p>
    <w:bookmarkEnd w:id="0"/>
    <w:p w14:paraId="74C77D61" w14:textId="77777777" w:rsidR="000705FF" w:rsidRPr="00194A12" w:rsidRDefault="000705FF" w:rsidP="00194A12">
      <w:pPr>
        <w:pStyle w:val="CDICopyrightheading"/>
      </w:pPr>
      <w:r w:rsidRPr="00194A12">
        <w:t>Restrictions</w:t>
      </w:r>
    </w:p>
    <w:p w14:paraId="2421F1B1" w14:textId="77777777" w:rsidR="000705FF" w:rsidRPr="0089025E" w:rsidRDefault="000705FF" w:rsidP="00863F8D">
      <w:pPr>
        <w:pStyle w:val="CDICopyrighttext-lessspace"/>
      </w:pPr>
      <w:r w:rsidRPr="0089025E">
        <w:t>The Licence does not cover, and there is no permission given for, use of any of the following material found in this publication (if</w:t>
      </w:r>
      <w:r w:rsidR="000F223B" w:rsidRPr="0089025E">
        <w:t xml:space="preserve"> </w:t>
      </w:r>
      <w:r w:rsidRPr="0089025E">
        <w:t xml:space="preserve">any): </w:t>
      </w:r>
    </w:p>
    <w:p w14:paraId="4541EC17" w14:textId="77777777" w:rsidR="000705FF" w:rsidRPr="008355D9" w:rsidRDefault="000705FF" w:rsidP="00AC0F5D">
      <w:pPr>
        <w:pStyle w:val="CDICopyrightbullets"/>
      </w:pPr>
      <w:r w:rsidRPr="008355D9">
        <w:t xml:space="preserve">the Commonwealth Coat of Arms (by way of information, the terms under which the Coat of Arms may be used can be </w:t>
      </w:r>
      <w:r w:rsidRPr="00AC0F5D">
        <w:t>found</w:t>
      </w:r>
      <w:r w:rsidRPr="008355D9">
        <w:t xml:space="preserve"> </w:t>
      </w:r>
      <w:r w:rsidR="006221DD">
        <w:t>on the Department of Prime Minister and Cabinet website</w:t>
      </w:r>
      <w:r w:rsidRPr="008355D9">
        <w:t>;</w:t>
      </w:r>
    </w:p>
    <w:p w14:paraId="0D0B1190" w14:textId="77777777" w:rsidR="000705FF" w:rsidRPr="0089025E" w:rsidRDefault="000705FF" w:rsidP="00AC0F5D">
      <w:pPr>
        <w:pStyle w:val="CDICopyrightbullets"/>
      </w:pPr>
      <w:r w:rsidRPr="0089025E">
        <w:t xml:space="preserve">any logos (including the </w:t>
      </w:r>
      <w:r w:rsidR="00602AC1">
        <w:t>Department of Health and Aged Care</w:t>
      </w:r>
      <w:r w:rsidRPr="0089025E">
        <w:t>’s logo) and trademarks;</w:t>
      </w:r>
    </w:p>
    <w:p w14:paraId="7CAD87AB" w14:textId="77777777" w:rsidR="000705FF" w:rsidRPr="0089025E" w:rsidRDefault="000705FF" w:rsidP="00AC0F5D">
      <w:pPr>
        <w:pStyle w:val="CDICopyrightbullets"/>
      </w:pPr>
      <w:r w:rsidRPr="0089025E">
        <w:t xml:space="preserve">any photographs and images; </w:t>
      </w:r>
    </w:p>
    <w:p w14:paraId="283A9A77" w14:textId="77777777" w:rsidR="000705FF" w:rsidRPr="0089025E" w:rsidRDefault="000705FF" w:rsidP="00AC0F5D">
      <w:pPr>
        <w:pStyle w:val="CDICopyrightbullets"/>
      </w:pPr>
      <w:r w:rsidRPr="0089025E">
        <w:t>any signatures; and</w:t>
      </w:r>
    </w:p>
    <w:p w14:paraId="6B449E12" w14:textId="77777777" w:rsidR="000705FF" w:rsidRPr="0089025E" w:rsidRDefault="000705FF" w:rsidP="00AC0F5D">
      <w:pPr>
        <w:pStyle w:val="CDICopyrightbullets"/>
      </w:pPr>
      <w:r w:rsidRPr="0089025E">
        <w:t xml:space="preserve">any material belonging to third parties. </w:t>
      </w:r>
    </w:p>
    <w:p w14:paraId="42710662" w14:textId="77777777" w:rsidR="000F223B" w:rsidRPr="0089025E" w:rsidRDefault="000705FF" w:rsidP="00194A12">
      <w:pPr>
        <w:pStyle w:val="CDICopyrightheading"/>
      </w:pPr>
      <w:r w:rsidRPr="0089025E">
        <w:t>Disclaimer</w:t>
      </w:r>
    </w:p>
    <w:p w14:paraId="050EC289" w14:textId="77777777" w:rsidR="000705FF" w:rsidRPr="0089025E" w:rsidRDefault="000705FF" w:rsidP="00194A12">
      <w:pPr>
        <w:pStyle w:val="CDICopyrighttext"/>
      </w:pPr>
      <w:r w:rsidRPr="0089025E">
        <w:t xml:space="preserve">Opinions expressed in </w:t>
      </w:r>
      <w:r w:rsidRPr="00682E53">
        <w:rPr>
          <w:i/>
          <w:iCs/>
        </w:rPr>
        <w:t>Communicable Diseases Intelligence</w:t>
      </w:r>
      <w:r w:rsidR="004B0C95">
        <w:t xml:space="preserve"> </w:t>
      </w:r>
      <w:r w:rsidRPr="0089025E">
        <w:t xml:space="preserve">are those of the authors and not necessarily those of the </w:t>
      </w:r>
      <w:r w:rsidR="00602AC1">
        <w:t>Department of Health and Aged Care</w:t>
      </w:r>
      <w:r w:rsidRPr="0089025E">
        <w:t xml:space="preserve"> or the Communicable Diseases Network Australia. Data may be subject to revision.</w:t>
      </w:r>
    </w:p>
    <w:p w14:paraId="2249A896" w14:textId="77777777" w:rsidR="000F223B" w:rsidRPr="0089025E" w:rsidRDefault="000705FF" w:rsidP="00194A12">
      <w:pPr>
        <w:pStyle w:val="CDICopyrightheading"/>
      </w:pPr>
      <w:r w:rsidRPr="0089025E">
        <w:t>Enquiries</w:t>
      </w:r>
    </w:p>
    <w:p w14:paraId="7ED53969" w14:textId="77777777" w:rsidR="000705FF" w:rsidRPr="00863F8D" w:rsidRDefault="000705FF" w:rsidP="004B0C95">
      <w:pPr>
        <w:pStyle w:val="CDICopyrighttext"/>
      </w:pPr>
      <w:r w:rsidRPr="00863F8D">
        <w:t>Enquiries regarding any other use of this publication should be addressed to the</w:t>
      </w:r>
      <w:r w:rsidR="00661FE1" w:rsidRPr="00863F8D">
        <w:t xml:space="preserve"> </w:t>
      </w:r>
      <w:r w:rsidR="009D0F93" w:rsidRPr="00863F8D">
        <w:t>CDI Editor</w:t>
      </w:r>
      <w:r w:rsidRPr="00863F8D">
        <w:t xml:space="preserve"> </w:t>
      </w:r>
      <w:r w:rsidR="000F223B" w:rsidRPr="00863F8D">
        <w:t xml:space="preserve">at: </w:t>
      </w:r>
      <w:r w:rsidR="006307C1" w:rsidRPr="004B0C95">
        <w:rPr>
          <w:rStyle w:val="Hyperlink"/>
        </w:rPr>
        <w:t>cdi.editor@health.gov.au</w:t>
      </w:r>
      <w:r w:rsidR="00863F8D" w:rsidRPr="00863F8D">
        <w:t>.</w:t>
      </w:r>
    </w:p>
    <w:p w14:paraId="550876D1" w14:textId="77777777" w:rsidR="000F223B" w:rsidRPr="0089025E" w:rsidRDefault="000705FF" w:rsidP="00194A12">
      <w:pPr>
        <w:pStyle w:val="CDICopyrightheading"/>
      </w:pPr>
      <w:r w:rsidRPr="0089025E">
        <w:t>Communicable Diseases Network Australia</w:t>
      </w:r>
    </w:p>
    <w:p w14:paraId="40C30B90" w14:textId="77777777" w:rsidR="00DA2E9E" w:rsidRDefault="000705FF" w:rsidP="00194A12">
      <w:pPr>
        <w:pStyle w:val="CDICopyrighttext"/>
      </w:pPr>
      <w:r w:rsidRPr="0089025E">
        <w:t xml:space="preserve">Communicable Diseases Intelligence contributes to the work of the </w:t>
      </w:r>
      <w:hyperlink r:id="rId23" w:history="1">
        <w:r w:rsidRPr="00C47C8C">
          <w:rPr>
            <w:rStyle w:val="Hyperlink"/>
          </w:rPr>
          <w:t>Communicable Diseases Network Australia</w:t>
        </w:r>
      </w:hyperlink>
      <w:r w:rsidRPr="0089025E">
        <w:t>.</w:t>
      </w:r>
      <w:r w:rsidR="0089025E" w:rsidRPr="0089025E">
        <w:t xml:space="preserve"> </w:t>
      </w:r>
    </w:p>
    <w:p w14:paraId="159F72C6" w14:textId="77777777" w:rsidR="004B0C95" w:rsidRDefault="004B0C95" w:rsidP="004B0C95">
      <w:pPr>
        <w:pStyle w:val="Normal-nospace"/>
      </w:pPr>
    </w:p>
    <w:p w14:paraId="2102D925" w14:textId="77777777" w:rsidR="00126546" w:rsidRPr="00A65DFA" w:rsidRDefault="00126546" w:rsidP="00126546">
      <w:pPr>
        <w:pStyle w:val="CDICopyrighttitle"/>
      </w:pPr>
      <w:r>
        <w:t xml:space="preserve">About </w:t>
      </w:r>
      <w:r w:rsidRPr="00A65DFA">
        <w:t xml:space="preserve">Communicable Diseases </w:t>
      </w:r>
      <w:r w:rsidRPr="00194A12">
        <w:t>Intelligence</w:t>
      </w:r>
    </w:p>
    <w:p w14:paraId="0551114C" w14:textId="77777777" w:rsidR="00126546" w:rsidRDefault="00126546" w:rsidP="00126546">
      <w:pPr>
        <w:pStyle w:val="CDICopyrighttext"/>
      </w:pPr>
      <w:r w:rsidRPr="004B0C95">
        <w:rPr>
          <w:i/>
          <w:iCs/>
        </w:rPr>
        <w:t>Communicable Diseases Intelligence</w:t>
      </w:r>
      <w:r w:rsidRPr="0089025E">
        <w:t xml:space="preserve"> (CDI) is a peer-reviewed scientific journal published by the </w:t>
      </w:r>
      <w:r>
        <w:t>Health Security &amp; Emergency Management Division</w:t>
      </w:r>
      <w:r w:rsidRPr="0089025E">
        <w:t>,</w:t>
      </w:r>
      <w:r>
        <w:t xml:space="preserve"> </w:t>
      </w:r>
      <w:r w:rsidR="00602AC1">
        <w:t>Department of Health and Aged Care</w:t>
      </w:r>
      <w:r w:rsidRPr="0089025E">
        <w:t>. The journal aims to disseminate information on the epidemiology, surveillance, prevention and control of communicable diseases of relevance to Australia.</w:t>
      </w:r>
    </w:p>
    <w:p w14:paraId="12115493" w14:textId="77777777" w:rsidR="00126546" w:rsidRPr="0089025E" w:rsidRDefault="00126546" w:rsidP="00126546">
      <w:pPr>
        <w:pStyle w:val="CDICopyrighttext"/>
      </w:pPr>
      <w:r w:rsidRPr="0089025E">
        <w:rPr>
          <w:b/>
          <w:bCs/>
        </w:rPr>
        <w:t>Editor</w:t>
      </w:r>
      <w:r w:rsidRPr="0089025E">
        <w:t xml:space="preserve">: Christina Bareja </w:t>
      </w:r>
      <w:r w:rsidRPr="00D43E8E">
        <w:rPr>
          <w:rStyle w:val="CDICopyrighttextbullet"/>
        </w:rPr>
        <w:t>•</w:t>
      </w:r>
      <w:r w:rsidRPr="0089025E">
        <w:t xml:space="preserve"> </w:t>
      </w:r>
      <w:r w:rsidRPr="0089025E">
        <w:rPr>
          <w:b/>
          <w:bCs/>
        </w:rPr>
        <w:t>Deputy Editor</w:t>
      </w:r>
      <w:r w:rsidRPr="0089025E">
        <w:t xml:space="preserve">: Simon Petrie </w:t>
      </w:r>
      <w:r w:rsidRPr="00D43E8E">
        <w:rPr>
          <w:rStyle w:val="CDICopyrighttextbullet"/>
        </w:rPr>
        <w:t>•</w:t>
      </w:r>
      <w:r w:rsidRPr="0089025E">
        <w:t xml:space="preserve"> </w:t>
      </w:r>
      <w:r w:rsidRPr="0089025E">
        <w:rPr>
          <w:b/>
          <w:bCs/>
        </w:rPr>
        <w:t>Design and Production</w:t>
      </w:r>
      <w:r w:rsidRPr="0089025E">
        <w:t>: Lisa Thompson</w:t>
      </w:r>
    </w:p>
    <w:p w14:paraId="3DE63536" w14:textId="77777777" w:rsidR="00126546" w:rsidRPr="0089025E" w:rsidRDefault="00126546" w:rsidP="00126546">
      <w:pPr>
        <w:pStyle w:val="CDICopyrighttext"/>
      </w:pPr>
      <w:r w:rsidRPr="0089025E">
        <w:rPr>
          <w:b/>
          <w:bCs/>
        </w:rPr>
        <w:t>Editorial Advisory Board</w:t>
      </w:r>
      <w:r w:rsidRPr="0089025E">
        <w:t>: David Durrheim, Mark Ferson, Clare Huppatz, John Kaldor, Martyn Kirk</w:t>
      </w:r>
      <w:r>
        <w:t xml:space="preserve"> and </w:t>
      </w:r>
      <w:r w:rsidRPr="0089025E">
        <w:t>Meru Sheel</w:t>
      </w:r>
    </w:p>
    <w:p w14:paraId="43944018" w14:textId="77777777" w:rsidR="00A51E0E" w:rsidRPr="0089025E" w:rsidRDefault="00A51E0E" w:rsidP="00A51E0E">
      <w:pPr>
        <w:pStyle w:val="CDICopyrightheading"/>
      </w:pPr>
      <w:r w:rsidRPr="0089025E">
        <w:t xml:space="preserve">Submit an </w:t>
      </w:r>
      <w:proofErr w:type="gramStart"/>
      <w:r w:rsidRPr="0089025E">
        <w:t>Article</w:t>
      </w:r>
      <w:proofErr w:type="gramEnd"/>
    </w:p>
    <w:p w14:paraId="296BACA4" w14:textId="77777777" w:rsidR="00A51E0E" w:rsidRPr="0089025E" w:rsidRDefault="00126546" w:rsidP="00A51E0E">
      <w:pPr>
        <w:pStyle w:val="CDICopyrighttext"/>
      </w:pPr>
      <w:r>
        <w:t>S</w:t>
      </w:r>
      <w:r w:rsidR="00A51E0E" w:rsidRPr="0089025E">
        <w:t xml:space="preserve">ubmit your next communicable disease related article to </w:t>
      </w:r>
      <w:r>
        <w:t>C</w:t>
      </w:r>
      <w:r w:rsidR="00A51E0E" w:rsidRPr="0089025E">
        <w:t xml:space="preserve">DI for consideration. </w:t>
      </w:r>
      <w:hyperlink r:id="rId24" w:history="1">
        <w:r w:rsidRPr="004B0C95">
          <w:rPr>
            <w:rStyle w:val="Hyperlink"/>
          </w:rPr>
          <w:t>Information for authors</w:t>
        </w:r>
      </w:hyperlink>
      <w:r>
        <w:t xml:space="preserve"> and details on how to </w:t>
      </w:r>
      <w:hyperlink r:id="rId25" w:anchor="submission_package" w:history="1">
        <w:r w:rsidRPr="004B0C95">
          <w:rPr>
            <w:rStyle w:val="Hyperlink"/>
          </w:rPr>
          <w:t>submit your publication</w:t>
        </w:r>
      </w:hyperlink>
      <w:r>
        <w:t xml:space="preserve"> is available on our </w:t>
      </w:r>
      <w:r w:rsidRPr="004B0C95">
        <w:t>website</w:t>
      </w:r>
      <w:r>
        <w:t xml:space="preserve">, or by email at </w:t>
      </w:r>
      <w:hyperlink r:id="rId26" w:history="1">
        <w:r w:rsidR="00A51E0E" w:rsidRPr="000C6EB5">
          <w:rPr>
            <w:rStyle w:val="Hyperlink"/>
          </w:rPr>
          <w:t>cdi.editor@health.gov.au</w:t>
        </w:r>
      </w:hyperlink>
      <w:r w:rsidR="00863F8D">
        <w:t>.</w:t>
      </w:r>
    </w:p>
    <w:p w14:paraId="22CAD3D7" w14:textId="77777777" w:rsidR="00DE4482" w:rsidRPr="0089025E" w:rsidRDefault="00A51E0E" w:rsidP="00194A12">
      <w:pPr>
        <w:pStyle w:val="CDICopyrightheading"/>
      </w:pPr>
      <w:r>
        <w:t>Contact us</w:t>
      </w:r>
    </w:p>
    <w:p w14:paraId="5A2DA4CA" w14:textId="77777777" w:rsidR="00863F8D" w:rsidRDefault="00126546" w:rsidP="00863F8D">
      <w:pPr>
        <w:pStyle w:val="CDICopyrighttext-nospace"/>
      </w:pPr>
      <w:r>
        <w:t>Communicable Diseases Intelligence (CDI)</w:t>
      </w:r>
    </w:p>
    <w:p w14:paraId="2417B060" w14:textId="77777777" w:rsidR="00863F8D" w:rsidRDefault="00470C19" w:rsidP="00863F8D">
      <w:pPr>
        <w:pStyle w:val="CDICopyrighttext-nospace"/>
      </w:pPr>
      <w:r>
        <w:t>Health Security &amp; Emergency Management Division</w:t>
      </w:r>
    </w:p>
    <w:p w14:paraId="3BD6284B" w14:textId="77777777" w:rsidR="00863F8D" w:rsidRDefault="00602AC1" w:rsidP="00863F8D">
      <w:pPr>
        <w:pStyle w:val="CDICopyrighttext-nospace"/>
      </w:pPr>
      <w:r>
        <w:t>Department of Health and Aged Care</w:t>
      </w:r>
    </w:p>
    <w:p w14:paraId="21D4A1C9" w14:textId="77777777" w:rsidR="000A5F42" w:rsidRPr="0089025E" w:rsidRDefault="00E54BBD" w:rsidP="00863F8D">
      <w:pPr>
        <w:pStyle w:val="CDICopyrighttext-lessspace"/>
      </w:pPr>
      <w:r w:rsidRPr="0089025E">
        <w:t>GPO Box 9848, CANBERRA ACT 2601</w:t>
      </w:r>
    </w:p>
    <w:p w14:paraId="754F5C01" w14:textId="77777777" w:rsidR="00863F8D" w:rsidRDefault="00DA2E9E" w:rsidP="00863F8D">
      <w:pPr>
        <w:pStyle w:val="CDICopyrighttext-nospace"/>
      </w:pPr>
      <w:r w:rsidRPr="0089025E">
        <w:t xml:space="preserve">Website: </w:t>
      </w:r>
      <w:hyperlink r:id="rId27" w:history="1">
        <w:r w:rsidR="00AC0F5D" w:rsidRPr="000C6EB5">
          <w:rPr>
            <w:rStyle w:val="Hyperlink"/>
          </w:rPr>
          <w:t>www.health.gov.au/cdi</w:t>
        </w:r>
      </w:hyperlink>
    </w:p>
    <w:p w14:paraId="00899737" w14:textId="77777777" w:rsidR="000A5F42" w:rsidRPr="0089025E" w:rsidRDefault="000A5F42" w:rsidP="00863F8D">
      <w:pPr>
        <w:pStyle w:val="CDICopyrighttext-lessspace"/>
      </w:pPr>
      <w:r w:rsidRPr="0089025E">
        <w:t xml:space="preserve">Email: </w:t>
      </w:r>
      <w:hyperlink r:id="rId28" w:history="1">
        <w:r w:rsidR="00AC0F5D" w:rsidRPr="000C6EB5">
          <w:rPr>
            <w:rStyle w:val="Hyperlink"/>
          </w:rPr>
          <w:t>cdi.editor@health.gov.au</w:t>
        </w:r>
      </w:hyperlink>
    </w:p>
    <w:sectPr w:rsidR="000A5F42" w:rsidRPr="0089025E" w:rsidSect="00690957">
      <w:pgSz w:w="11907" w:h="16840" w:code="9"/>
      <w:pgMar w:top="1134" w:right="1134" w:bottom="130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509AB0" w14:textId="77777777" w:rsidR="001373CD" w:rsidRDefault="001373CD" w:rsidP="00E54DBA">
      <w:r>
        <w:separator/>
      </w:r>
    </w:p>
    <w:p w14:paraId="794B4074" w14:textId="77777777" w:rsidR="001373CD" w:rsidRDefault="001373CD"/>
    <w:p w14:paraId="56F49F45" w14:textId="77777777" w:rsidR="001373CD" w:rsidRDefault="001373CD" w:rsidP="008714B0"/>
  </w:endnote>
  <w:endnote w:type="continuationSeparator" w:id="0">
    <w:p w14:paraId="6629C631" w14:textId="77777777" w:rsidR="001373CD" w:rsidRDefault="001373CD" w:rsidP="00E54DBA">
      <w:r>
        <w:continuationSeparator/>
      </w:r>
    </w:p>
    <w:p w14:paraId="6BA522C9" w14:textId="77777777" w:rsidR="001373CD" w:rsidRDefault="001373CD"/>
    <w:p w14:paraId="39346E48" w14:textId="77777777" w:rsidR="001373CD" w:rsidRDefault="001373CD" w:rsidP="008714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rope ExtraLight">
    <w:panose1 w:val="00000000000000000000"/>
    <w:charset w:val="00"/>
    <w:family w:val="auto"/>
    <w:pitch w:val="variable"/>
    <w:sig w:usb0="A00002BF" w:usb1="5000206B" w:usb2="00000000" w:usb3="00000000" w:csb0="0000019F" w:csb1="00000000"/>
  </w:font>
  <w:font w:name="MyriadPro-Bold">
    <w:altName w:val="Calibri"/>
    <w:panose1 w:val="00000000000000000000"/>
    <w:charset w:val="00"/>
    <w:family w:val="auto"/>
    <w:notTrueType/>
    <w:pitch w:val="default"/>
    <w:sig w:usb0="00000003" w:usb1="00000000" w:usb2="00000000" w:usb3="00000000" w:csb0="00000001" w:csb1="00000000"/>
  </w:font>
  <w:font w:name="MyriadPro-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inion3-Bold">
    <w:altName w:val="Calibri"/>
    <w:panose1 w:val="00000000000000000000"/>
    <w:charset w:val="00"/>
    <w:family w:val="auto"/>
    <w:notTrueType/>
    <w:pitch w:val="default"/>
    <w:sig w:usb0="00000003" w:usb1="00000000" w:usb2="00000000" w:usb3="00000000" w:csb0="00000001" w:csb1="00000000"/>
  </w:font>
  <w:font w:name="Minion3Caption-Regular">
    <w:altName w:val="Calibri"/>
    <w:panose1 w:val="00000000000000000000"/>
    <w:charset w:val="00"/>
    <w:family w:val="auto"/>
    <w:notTrueType/>
    <w:pitch w:val="default"/>
    <w:sig w:usb0="00000003" w:usb1="00000000" w:usb2="00000000" w:usb3="00000000" w:csb0="00000001" w:csb1="00000000"/>
  </w:font>
  <w:font w:name="Minion3-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BEC45" w14:textId="77777777" w:rsidR="00F81F48" w:rsidRDefault="00F81F4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06485" w14:textId="62CC892A" w:rsidR="00F81F48" w:rsidRPr="00912A31" w:rsidRDefault="00F81F48" w:rsidP="00912A31">
    <w:pPr>
      <w:pStyle w:val="CDIFooter0"/>
    </w:pPr>
    <w:r w:rsidRPr="001D0612">
      <w:t xml:space="preserve">www.health.gov.au/cdi </w:t>
    </w:r>
    <w:r w:rsidRPr="00912A31">
      <w:rPr>
        <w:rStyle w:val="CDICopyrightTextBullet0"/>
      </w:rPr>
      <w:t>•</w:t>
    </w:r>
    <w:r w:rsidRPr="001D0612">
      <w:rPr>
        <w:rFonts w:cstheme="minorHAnsi"/>
      </w:rPr>
      <w:t xml:space="preserve"> </w:t>
    </w:r>
    <w:r w:rsidRPr="00F664DD">
      <w:rPr>
        <w:i/>
        <w:iCs/>
      </w:rPr>
      <w:t>Commun Dis Intell (2018)</w:t>
    </w:r>
    <w:r w:rsidRPr="001D0612">
      <w:t xml:space="preserve">  </w:t>
    </w:r>
    <w:fldSimple w:instr=" DOCPROPERTY  Year  \* MERGEFORMAT ">
      <w:r>
        <w:t>2024</w:t>
      </w:r>
    </w:fldSimple>
    <w:r w:rsidRPr="001D0612">
      <w:t xml:space="preserve"> </w:t>
    </w:r>
    <w:fldSimple w:instr=" DOCPROPERTY  Vol  \* MERGEFORMAT ">
      <w:r>
        <w:t>48</w:t>
      </w:r>
    </w:fldSimple>
    <w:r w:rsidRPr="001D0612">
      <w:t xml:space="preserve">  (</w:t>
    </w:r>
    <w:fldSimple w:instr=" DOCPROPERTY  DOI  \* MERGEFORMAT ">
      <w:r w:rsidR="00462748">
        <w:t>https://doi.org/10.33321/cdi.2025.49.004</w:t>
      </w:r>
    </w:fldSimple>
    <w:r w:rsidRPr="001D0612">
      <w:t xml:space="preserve">) </w:t>
    </w:r>
    <w:r w:rsidRPr="00912A31">
      <w:rPr>
        <w:rStyle w:val="CDICopyrightTextBullet0"/>
      </w:rPr>
      <w:t>•</w:t>
    </w:r>
    <w:r w:rsidRPr="001D0612">
      <w:rPr>
        <w:rFonts w:cstheme="minorHAnsi"/>
      </w:rPr>
      <w:t xml:space="preserve"> </w:t>
    </w:r>
    <w:r w:rsidRPr="001D0612">
      <w:t xml:space="preserve">Epub </w:t>
    </w:r>
    <w:fldSimple w:instr=" DOCPROPERTY  ePubDate  \* MERGEFORMAT ">
      <w:r w:rsidR="00462748">
        <w:t>22/01/2025</w:t>
      </w:r>
    </w:fldSimple>
    <w:r>
      <w:ptab w:relativeTo="margin" w:alignment="right" w:leader="none"/>
    </w:r>
    <w:r w:rsidRPr="001D0612">
      <w:fldChar w:fldCharType="begin"/>
    </w:r>
    <w:r w:rsidRPr="001D0612">
      <w:instrText xml:space="preserve"> PAGE   \* MERGEFORMAT </w:instrText>
    </w:r>
    <w:r w:rsidRPr="001D0612">
      <w:fldChar w:fldCharType="separate"/>
    </w:r>
    <w:r>
      <w:t>3</w:t>
    </w:r>
    <w:r w:rsidRPr="001D0612">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8775E" w14:textId="77777777" w:rsidR="00F81F48" w:rsidRDefault="00F81F48" w:rsidP="00F664DD">
    <w:pPr>
      <w:pStyle w:val="CDIFirst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EDB2A" w14:textId="77777777" w:rsidR="00A14629" w:rsidRDefault="00A14629"/>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8B7B7" w14:textId="187D22C9" w:rsidR="00A14629" w:rsidRPr="00912A31" w:rsidRDefault="00912A31" w:rsidP="00912A31">
    <w:pPr>
      <w:pStyle w:val="CDIFooter"/>
    </w:pPr>
    <w:r w:rsidRPr="001D0612">
      <w:t xml:space="preserve">www.health.gov.au/cdi </w:t>
    </w:r>
    <w:r w:rsidRPr="00912A31">
      <w:rPr>
        <w:rStyle w:val="CDICopyrighttextbullet"/>
      </w:rPr>
      <w:t>•</w:t>
    </w:r>
    <w:r w:rsidRPr="001D0612">
      <w:rPr>
        <w:rFonts w:cstheme="minorHAnsi"/>
      </w:rPr>
      <w:t xml:space="preserve"> </w:t>
    </w:r>
    <w:r w:rsidRPr="00F664DD">
      <w:rPr>
        <w:i/>
        <w:iCs/>
      </w:rPr>
      <w:t>Commun Dis Intell (2018)</w:t>
    </w:r>
    <w:r w:rsidRPr="001D0612">
      <w:t xml:space="preserve">  </w:t>
    </w:r>
    <w:fldSimple w:instr=" DOCPROPERTY  Year  \* MERGEFORMAT ">
      <w:r w:rsidR="001373CD">
        <w:t>2025</w:t>
      </w:r>
    </w:fldSimple>
    <w:r w:rsidRPr="001D0612">
      <w:t xml:space="preserve"> </w:t>
    </w:r>
    <w:fldSimple w:instr=" DOCPROPERTY  Vol  \* MERGEFORMAT ">
      <w:r w:rsidR="001373CD">
        <w:t>49</w:t>
      </w:r>
    </w:fldSimple>
    <w:r w:rsidRPr="001D0612">
      <w:t xml:space="preserve">  (</w:t>
    </w:r>
    <w:fldSimple w:instr=" DOCPROPERTY  DOI  \* MERGEFORMAT ">
      <w:r w:rsidR="00F22C78">
        <w:t>https://doi.org/10.33321/cdi.2025.49.004</w:t>
      </w:r>
    </w:fldSimple>
    <w:r w:rsidRPr="001D0612">
      <w:t xml:space="preserve">) </w:t>
    </w:r>
    <w:r w:rsidRPr="00912A31">
      <w:rPr>
        <w:rStyle w:val="CDICopyrighttextbullet"/>
      </w:rPr>
      <w:t>•</w:t>
    </w:r>
    <w:r w:rsidRPr="001D0612">
      <w:rPr>
        <w:rFonts w:cstheme="minorHAnsi"/>
      </w:rPr>
      <w:t xml:space="preserve"> </w:t>
    </w:r>
    <w:r w:rsidRPr="001D0612">
      <w:t xml:space="preserve">Epub </w:t>
    </w:r>
    <w:fldSimple w:instr=" DOCPROPERTY  ePubDate  \* MERGEFORMAT ">
      <w:r w:rsidR="00F22C78">
        <w:t>22/01/2025</w:t>
      </w:r>
    </w:fldSimple>
    <w:r w:rsidR="00040B99">
      <w:ptab w:relativeTo="margin" w:alignment="right" w:leader="none"/>
    </w:r>
    <w:r w:rsidR="00040B99" w:rsidRPr="00040B99">
      <w:fldChar w:fldCharType="begin"/>
    </w:r>
    <w:r w:rsidR="00040B99" w:rsidRPr="00040B99">
      <w:instrText xml:space="preserve"> PAGE   \* MERGEFORMAT </w:instrText>
    </w:r>
    <w:r w:rsidR="00040B99" w:rsidRPr="00040B99">
      <w:fldChar w:fldCharType="separate"/>
    </w:r>
    <w:r w:rsidR="00040B99" w:rsidRPr="00040B99">
      <w:rPr>
        <w:noProof/>
      </w:rPr>
      <w:t>1</w:t>
    </w:r>
    <w:r w:rsidR="00040B99" w:rsidRPr="00040B99">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067FD" w14:textId="77777777" w:rsidR="00A14629" w:rsidRDefault="00A14629" w:rsidP="00F664DD">
    <w:pPr>
      <w:pStyle w:val="CDIFooter-firstpag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B7E3C" w14:textId="0041C451" w:rsidR="00AB3C13" w:rsidRDefault="00343991" w:rsidP="00690957">
    <w:pPr>
      <w:pStyle w:val="CDIFooter"/>
    </w:pPr>
    <w:r w:rsidRPr="001D0612">
      <w:t xml:space="preserve">www.health.gov.au/cdi </w:t>
    </w:r>
    <w:r w:rsidRPr="00AC7CD7">
      <w:rPr>
        <w:rStyle w:val="CDICopyrighttextbullet"/>
      </w:rPr>
      <w:t>•</w:t>
    </w:r>
    <w:r w:rsidRPr="001D0612">
      <w:rPr>
        <w:rFonts w:cstheme="minorHAnsi"/>
      </w:rPr>
      <w:t xml:space="preserve"> </w:t>
    </w:r>
    <w:r w:rsidRPr="00AC7CD7">
      <w:rPr>
        <w:i/>
        <w:iCs/>
      </w:rPr>
      <w:t>Commun Dis Intell (2018)</w:t>
    </w:r>
    <w:r w:rsidRPr="001D0612">
      <w:t xml:space="preserve">  </w:t>
    </w:r>
    <w:fldSimple w:instr=" DOCPROPERTY  Year  \* MERGEFORMAT ">
      <w:r w:rsidR="001373CD">
        <w:t>2025</w:t>
      </w:r>
    </w:fldSimple>
    <w:r w:rsidRPr="001D0612">
      <w:t xml:space="preserve"> </w:t>
    </w:r>
    <w:fldSimple w:instr=" DOCPROPERTY  Vol  \* MERGEFORMAT ">
      <w:r w:rsidR="001373CD">
        <w:t>49</w:t>
      </w:r>
    </w:fldSimple>
    <w:r w:rsidRPr="001D0612">
      <w:t xml:space="preserve">  (</w:t>
    </w:r>
    <w:fldSimple w:instr=" DOCPROPERTY  DOI  \* MERGEFORMAT ">
      <w:r w:rsidR="00F22C78">
        <w:t>https://doi.org/10.33321/cdi.2025.49.004</w:t>
      </w:r>
    </w:fldSimple>
    <w:r w:rsidRPr="001D0612">
      <w:t xml:space="preserve">) </w:t>
    </w:r>
    <w:r w:rsidRPr="00AC7CD7">
      <w:rPr>
        <w:rStyle w:val="CDICopyrighttextbullet"/>
      </w:rPr>
      <w:t>•</w:t>
    </w:r>
    <w:r w:rsidRPr="001D0612">
      <w:rPr>
        <w:rFonts w:cstheme="minorHAnsi"/>
      </w:rPr>
      <w:t xml:space="preserve"> </w:t>
    </w:r>
    <w:r w:rsidRPr="001D0612">
      <w:t xml:space="preserve">Epub </w:t>
    </w:r>
    <w:fldSimple w:instr=" DOCPROPERTY  ePubDate  \* MERGEFORMAT ">
      <w:r w:rsidR="00F22C78">
        <w:t>22/01/2025</w:t>
      </w:r>
    </w:fldSimple>
    <w:r w:rsidR="00040B99">
      <w:ptab w:relativeTo="margin" w:alignment="right" w:leader="none"/>
    </w:r>
    <w:r w:rsidRPr="001D0612">
      <w:fldChar w:fldCharType="begin"/>
    </w:r>
    <w:r w:rsidRPr="001D0612">
      <w:instrText xml:space="preserve"> PAGE   \* MERGEFORMAT </w:instrText>
    </w:r>
    <w:r w:rsidRPr="001D0612">
      <w:fldChar w:fldCharType="separate"/>
    </w:r>
    <w:r>
      <w:t>3</w:t>
    </w:r>
    <w:r w:rsidRPr="001D06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4D32D1" w14:textId="77777777" w:rsidR="001373CD" w:rsidRPr="00B91FB5" w:rsidRDefault="001373CD" w:rsidP="00B91FB5">
      <w:pPr>
        <w:spacing w:line="240" w:lineRule="auto"/>
        <w:rPr>
          <w:sz w:val="18"/>
          <w:szCs w:val="18"/>
        </w:rPr>
      </w:pPr>
      <w:r w:rsidRPr="00B91FB5">
        <w:rPr>
          <w:sz w:val="18"/>
          <w:szCs w:val="18"/>
        </w:rPr>
        <w:separator/>
      </w:r>
    </w:p>
  </w:footnote>
  <w:footnote w:type="continuationSeparator" w:id="0">
    <w:p w14:paraId="3D35935F" w14:textId="77777777" w:rsidR="001373CD" w:rsidRDefault="001373CD" w:rsidP="00E54DBA">
      <w:r>
        <w:continuationSeparator/>
      </w:r>
    </w:p>
  </w:footnote>
  <w:footnote w:type="continuationNotice" w:id="1">
    <w:p w14:paraId="41B5E3E9" w14:textId="77777777" w:rsidR="001373CD" w:rsidRPr="00224EFF" w:rsidRDefault="001373CD" w:rsidP="00224EFF"/>
  </w:footnote>
  <w:footnote w:id="2">
    <w:p w14:paraId="707A8EA7" w14:textId="016FA66B" w:rsidR="00F81F48" w:rsidRPr="00F81F48" w:rsidRDefault="00F81F48" w:rsidP="00F81F48">
      <w:pPr>
        <w:pStyle w:val="CDITable-Footnote"/>
      </w:pPr>
      <w:r w:rsidRPr="00F81F48">
        <w:rPr>
          <w:rStyle w:val="FootnoteReference"/>
          <w:vertAlign w:val="baseline"/>
        </w:rPr>
        <w:footnoteRef/>
      </w:r>
      <w:r w:rsidRPr="00F81F48">
        <w:t xml:space="preserve"> </w:t>
      </w:r>
      <w:r w:rsidRPr="00F81F48">
        <w:tab/>
      </w:r>
      <w:r w:rsidRPr="00F81F48">
        <w:rPr>
          <w:rStyle w:val="CDITable-FootnoteChar"/>
        </w:rPr>
        <w:t>https://posit.co/products/open-source/rstudio/.</w:t>
      </w:r>
    </w:p>
  </w:footnote>
  <w:footnote w:id="3">
    <w:p w14:paraId="5DEDCA08" w14:textId="77777777" w:rsidR="00F22C78" w:rsidRPr="00F22C78" w:rsidRDefault="00F22C78" w:rsidP="00F81F48">
      <w:pPr>
        <w:pStyle w:val="CDITable-Footnote"/>
      </w:pPr>
      <w:r w:rsidRPr="00BD4007">
        <w:footnoteRef/>
      </w:r>
      <w:r w:rsidRPr="00BD4007">
        <w:t xml:space="preserve"> </w:t>
      </w:r>
      <w:r w:rsidRPr="00BD4007">
        <w:tab/>
      </w:r>
      <w:r w:rsidRPr="00F22C78">
        <w:t>https://epitools.ausvet.com.au/.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E0548" w14:textId="77777777" w:rsidR="00F81F48" w:rsidRDefault="00F81F4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8C9BD" w14:textId="77777777" w:rsidR="00F81F48" w:rsidRPr="00830070" w:rsidRDefault="00F81F48" w:rsidP="00912A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F9CDA" w14:textId="515A061F" w:rsidR="00F81F48" w:rsidRDefault="00876677" w:rsidP="00876677">
    <w:pPr>
      <w:pStyle w:val="CDIJournal"/>
    </w:pPr>
    <w:r w:rsidRPr="006B16A5">
      <w:t>Communicable</w:t>
    </w:r>
    <w:r>
      <w:t xml:space="preserve"> Diseases Intelligence</w:t>
    </w:r>
    <w:r>
      <w:rPr>
        <w:noProof/>
      </w:rPr>
      <w:drawing>
        <wp:anchor distT="0" distB="0" distL="114300" distR="114300" simplePos="0" relativeHeight="251663360" behindDoc="1" locked="1" layoutInCell="1" allowOverlap="1" wp14:anchorId="33D9F780" wp14:editId="4BF8B494">
          <wp:simplePos x="0" y="0"/>
          <wp:positionH relativeFrom="page">
            <wp:align>left</wp:align>
          </wp:positionH>
          <wp:positionV relativeFrom="page">
            <wp:align>top</wp:align>
          </wp:positionV>
          <wp:extent cx="7556400" cy="2268000"/>
          <wp:effectExtent l="0" t="0" r="6985" b="0"/>
          <wp:wrapNone/>
          <wp:docPr id="837148615" name="Picture 837148615" descr="A green rectangle with teal and white strokes displaying the logo for the interim Australian Centre for Disease Control and Department of Health and Aged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918223" name="Picture 2024918223" descr="A green rectangle with teal and white strokes displaying the logo for the interim Australian Centre for Disease Control and Department of Health and Aged Car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6400" cy="226800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1" layoutInCell="1" allowOverlap="1" wp14:anchorId="60A65C69" wp14:editId="01125F4E">
          <wp:simplePos x="0" y="0"/>
          <wp:positionH relativeFrom="page">
            <wp:align>left</wp:align>
          </wp:positionH>
          <wp:positionV relativeFrom="page">
            <wp:align>top</wp:align>
          </wp:positionV>
          <wp:extent cx="7556400" cy="2268000"/>
          <wp:effectExtent l="0" t="0" r="6985" b="0"/>
          <wp:wrapNone/>
          <wp:docPr id="2024918223" name="Picture 2024918223" descr="A green rectangle with teal and white strokes displaying the logo for the interim Australian Centre for Disease Control and Department of Health and Aged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918223" name="Picture 2024918223" descr="A green rectangle with teal and white strokes displaying the logo for the interim Australian Centre for Disease Control and Department of Health and Aged Car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6400" cy="2268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84B77" w14:textId="77777777" w:rsidR="00A14629" w:rsidRDefault="00A1462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2B190" w14:textId="77777777" w:rsidR="008B5348" w:rsidRPr="00830070" w:rsidRDefault="008B5348" w:rsidP="00912A3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527CC" w14:textId="77777777" w:rsidR="00A14629" w:rsidRDefault="006B16A5" w:rsidP="006B16A5">
    <w:pPr>
      <w:pStyle w:val="CDIJournal"/>
    </w:pPr>
    <w:r w:rsidRPr="006B16A5">
      <w:t>Communicable</w:t>
    </w:r>
    <w:r>
      <w:t xml:space="preserve"> Diseases Intelligence</w:t>
    </w:r>
    <w:r w:rsidR="00962C2F">
      <w:rPr>
        <w:noProof/>
      </w:rPr>
      <w:drawing>
        <wp:anchor distT="0" distB="0" distL="114300" distR="114300" simplePos="0" relativeHeight="251659264" behindDoc="1" locked="1" layoutInCell="1" allowOverlap="1" wp14:anchorId="120B4F32" wp14:editId="56E9EB15">
          <wp:simplePos x="0" y="0"/>
          <wp:positionH relativeFrom="page">
            <wp:align>left</wp:align>
          </wp:positionH>
          <wp:positionV relativeFrom="page">
            <wp:align>top</wp:align>
          </wp:positionV>
          <wp:extent cx="7556400" cy="2268000"/>
          <wp:effectExtent l="0" t="0" r="6985" b="0"/>
          <wp:wrapNone/>
          <wp:docPr id="187338821" name="Picture 187338821" descr="A green rectangle with teal and white strokes displaying the logo for the interim Australian Centre for Disease Control and Department of Health and Aged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918223" name="Picture 2024918223" descr="A green rectangle with teal and white strokes displaying the logo for the interim Australian Centre for Disease Control and Department of Health and Aged Car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6400" cy="2268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47FAF"/>
    <w:multiLevelType w:val="hybridMultilevel"/>
    <w:tmpl w:val="5B94B1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D80A6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4791E94"/>
    <w:multiLevelType w:val="hybridMultilevel"/>
    <w:tmpl w:val="09A44BB6"/>
    <w:lvl w:ilvl="0" w:tplc="92961A60">
      <w:start w:val="1"/>
      <w:numFmt w:val="bullet"/>
      <w:pStyle w:val="CDITable-RowBullets"/>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E23D41"/>
    <w:multiLevelType w:val="hybridMultilevel"/>
    <w:tmpl w:val="62D84E70"/>
    <w:lvl w:ilvl="0" w:tplc="79A29D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BD5021"/>
    <w:multiLevelType w:val="hybridMultilevel"/>
    <w:tmpl w:val="88A22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5F1EF6"/>
    <w:multiLevelType w:val="hybridMultilevel"/>
    <w:tmpl w:val="88A251AE"/>
    <w:lvl w:ilvl="0" w:tplc="02BEA01A">
      <w:start w:val="1"/>
      <w:numFmt w:val="decimal"/>
      <w:pStyle w:val="CDINumberedList1-L1"/>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07E4CE4"/>
    <w:multiLevelType w:val="multilevel"/>
    <w:tmpl w:val="05503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2F04BA"/>
    <w:multiLevelType w:val="hybridMultilevel"/>
    <w:tmpl w:val="069024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CB7B26"/>
    <w:multiLevelType w:val="hybridMultilevel"/>
    <w:tmpl w:val="FF5273AA"/>
    <w:lvl w:ilvl="0" w:tplc="3362C0A6">
      <w:start w:val="1"/>
      <w:numFmt w:val="bullet"/>
      <w:pStyle w:val="CDIBullets-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C34111"/>
    <w:multiLevelType w:val="hybridMultilevel"/>
    <w:tmpl w:val="BD224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7D3EE2"/>
    <w:multiLevelType w:val="hybridMultilevel"/>
    <w:tmpl w:val="3AB20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0D270B0"/>
    <w:multiLevelType w:val="hybridMultilevel"/>
    <w:tmpl w:val="B0009DC4"/>
    <w:lvl w:ilvl="0" w:tplc="8D624FEC">
      <w:numFmt w:val="bullet"/>
      <w:lvlText w:val=""/>
      <w:lvlJc w:val="left"/>
      <w:pPr>
        <w:ind w:left="720" w:hanging="360"/>
      </w:pPr>
      <w:rPr>
        <w:rFonts w:ascii="Symbol" w:eastAsia="Times New Roman"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A6245C"/>
    <w:multiLevelType w:val="hybridMultilevel"/>
    <w:tmpl w:val="A15CD27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71D582C"/>
    <w:multiLevelType w:val="hybridMultilevel"/>
    <w:tmpl w:val="B3788E6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C14B8B"/>
    <w:multiLevelType w:val="hybridMultilevel"/>
    <w:tmpl w:val="2320C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F3E2038"/>
    <w:multiLevelType w:val="hybridMultilevel"/>
    <w:tmpl w:val="8FA42C44"/>
    <w:lvl w:ilvl="0" w:tplc="8D624FEC">
      <w:numFmt w:val="bullet"/>
      <w:lvlText w:val=""/>
      <w:lvlJc w:val="left"/>
      <w:pPr>
        <w:ind w:left="720" w:hanging="360"/>
      </w:pPr>
      <w:rPr>
        <w:rFonts w:ascii="Symbol" w:eastAsia="Times New Roman"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3D37045"/>
    <w:multiLevelType w:val="hybridMultilevel"/>
    <w:tmpl w:val="8A045308"/>
    <w:lvl w:ilvl="0" w:tplc="8988957A">
      <w:start w:val="1"/>
      <w:numFmt w:val="bullet"/>
      <w:pStyle w:val="CDICopyrightbullets"/>
      <w:lvlText w:val=""/>
      <w:lvlJc w:val="left"/>
      <w:pPr>
        <w:ind w:left="360" w:hanging="360"/>
      </w:pPr>
      <w:rPr>
        <w:rFonts w:ascii="Symbol" w:hAnsi="Symbol" w:hint="default"/>
        <w:color w:val="00DCA1" w:themeColor="background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9FC45B7"/>
    <w:multiLevelType w:val="multilevel"/>
    <w:tmpl w:val="65284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C43C3F"/>
    <w:multiLevelType w:val="hybridMultilevel"/>
    <w:tmpl w:val="DB167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2A9135D"/>
    <w:multiLevelType w:val="multilevel"/>
    <w:tmpl w:val="1D3E1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608516B"/>
    <w:multiLevelType w:val="hybridMultilevel"/>
    <w:tmpl w:val="6D4EEC48"/>
    <w:lvl w:ilvl="0" w:tplc="4EA20708">
      <w:start w:val="1"/>
      <w:numFmt w:val="bullet"/>
      <w:pStyle w:val="CDIBoxbullet-Green"/>
      <w:lvlText w:val=""/>
      <w:lvlJc w:val="left"/>
      <w:pPr>
        <w:ind w:left="720" w:hanging="360"/>
      </w:pPr>
      <w:rPr>
        <w:rFonts w:ascii="Symbol" w:hAnsi="Symbol" w:hint="default"/>
        <w:color w:val="00DCA1" w:themeColor="background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08296814">
    <w:abstractNumId w:val="7"/>
  </w:num>
  <w:num w:numId="2" w16cid:durableId="1897424293">
    <w:abstractNumId w:val="12"/>
  </w:num>
  <w:num w:numId="3" w16cid:durableId="1257204005">
    <w:abstractNumId w:val="13"/>
  </w:num>
  <w:num w:numId="4" w16cid:durableId="249435281">
    <w:abstractNumId w:val="6"/>
  </w:num>
  <w:num w:numId="5" w16cid:durableId="1065370261">
    <w:abstractNumId w:val="17"/>
  </w:num>
  <w:num w:numId="6" w16cid:durableId="1981112450">
    <w:abstractNumId w:val="18"/>
  </w:num>
  <w:num w:numId="7" w16cid:durableId="1847285225">
    <w:abstractNumId w:val="19"/>
  </w:num>
  <w:num w:numId="8" w16cid:durableId="1155611035">
    <w:abstractNumId w:val="9"/>
  </w:num>
  <w:num w:numId="9" w16cid:durableId="1609970672">
    <w:abstractNumId w:val="15"/>
  </w:num>
  <w:num w:numId="10" w16cid:durableId="1791893130">
    <w:abstractNumId w:val="11"/>
  </w:num>
  <w:num w:numId="11" w16cid:durableId="470942222">
    <w:abstractNumId w:val="0"/>
  </w:num>
  <w:num w:numId="12" w16cid:durableId="564532051">
    <w:abstractNumId w:val="1"/>
  </w:num>
  <w:num w:numId="13" w16cid:durableId="1881085909">
    <w:abstractNumId w:val="3"/>
  </w:num>
  <w:num w:numId="14" w16cid:durableId="1568371897">
    <w:abstractNumId w:val="4"/>
  </w:num>
  <w:num w:numId="15" w16cid:durableId="1940402864">
    <w:abstractNumId w:val="10"/>
  </w:num>
  <w:num w:numId="16" w16cid:durableId="1786655782">
    <w:abstractNumId w:val="14"/>
  </w:num>
  <w:num w:numId="17" w16cid:durableId="479153694">
    <w:abstractNumId w:val="5"/>
  </w:num>
  <w:num w:numId="18" w16cid:durableId="283313819">
    <w:abstractNumId w:val="8"/>
  </w:num>
  <w:num w:numId="19" w16cid:durableId="1861163522">
    <w:abstractNumId w:val="5"/>
    <w:lvlOverride w:ilvl="0">
      <w:startOverride w:val="1"/>
    </w:lvlOverride>
  </w:num>
  <w:num w:numId="20" w16cid:durableId="1804809668">
    <w:abstractNumId w:val="5"/>
    <w:lvlOverride w:ilvl="0">
      <w:startOverride w:val="1"/>
    </w:lvlOverride>
  </w:num>
  <w:num w:numId="21" w16cid:durableId="1603873510">
    <w:abstractNumId w:val="5"/>
    <w:lvlOverride w:ilvl="0">
      <w:startOverride w:val="1"/>
    </w:lvlOverride>
  </w:num>
  <w:num w:numId="22" w16cid:durableId="914365539">
    <w:abstractNumId w:val="5"/>
    <w:lvlOverride w:ilvl="0">
      <w:startOverride w:val="1"/>
    </w:lvlOverride>
  </w:num>
  <w:num w:numId="23" w16cid:durableId="1022317170">
    <w:abstractNumId w:val="5"/>
    <w:lvlOverride w:ilvl="0">
      <w:startOverride w:val="1"/>
    </w:lvlOverride>
  </w:num>
  <w:num w:numId="24" w16cid:durableId="1343896282">
    <w:abstractNumId w:val="5"/>
    <w:lvlOverride w:ilvl="0">
      <w:startOverride w:val="1"/>
    </w:lvlOverride>
  </w:num>
  <w:num w:numId="25" w16cid:durableId="195311537">
    <w:abstractNumId w:val="5"/>
    <w:lvlOverride w:ilvl="0">
      <w:startOverride w:val="1"/>
    </w:lvlOverride>
  </w:num>
  <w:num w:numId="26" w16cid:durableId="939068915">
    <w:abstractNumId w:val="5"/>
    <w:lvlOverride w:ilvl="0">
      <w:startOverride w:val="1"/>
    </w:lvlOverride>
  </w:num>
  <w:num w:numId="27" w16cid:durableId="1996446220">
    <w:abstractNumId w:val="5"/>
    <w:lvlOverride w:ilvl="0">
      <w:startOverride w:val="1"/>
    </w:lvlOverride>
  </w:num>
  <w:num w:numId="28" w16cid:durableId="1808283431">
    <w:abstractNumId w:val="5"/>
    <w:lvlOverride w:ilvl="0">
      <w:startOverride w:val="1"/>
    </w:lvlOverride>
  </w:num>
  <w:num w:numId="29" w16cid:durableId="1886942018">
    <w:abstractNumId w:val="8"/>
  </w:num>
  <w:num w:numId="30" w16cid:durableId="1615593665">
    <w:abstractNumId w:val="16"/>
  </w:num>
  <w:num w:numId="31" w16cid:durableId="528883462">
    <w:abstractNumId w:val="2"/>
  </w:num>
  <w:num w:numId="32" w16cid:durableId="1956327888">
    <w:abstractNumId w:val="5"/>
    <w:lvlOverride w:ilvl="0">
      <w:startOverride w:val="1"/>
    </w:lvlOverride>
  </w:num>
  <w:num w:numId="33" w16cid:durableId="15903126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720"/>
  <w:noPunctuationKerning/>
  <w:characterSpacingControl w:val="doNotCompress"/>
  <w:hdrShapeDefaults>
    <o:shapedefaults v:ext="edit" spidmax="2050"/>
  </w:hdrShapeDefaults>
  <w:footnotePr>
    <w:numFmt w:val="lowerRoman"/>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3CD"/>
    <w:rsid w:val="00000B5B"/>
    <w:rsid w:val="00001611"/>
    <w:rsid w:val="00002B8D"/>
    <w:rsid w:val="000104A8"/>
    <w:rsid w:val="0001246E"/>
    <w:rsid w:val="000124B1"/>
    <w:rsid w:val="000147ED"/>
    <w:rsid w:val="00014B0F"/>
    <w:rsid w:val="0001562E"/>
    <w:rsid w:val="00016FE6"/>
    <w:rsid w:val="0002642D"/>
    <w:rsid w:val="00026D55"/>
    <w:rsid w:val="00031064"/>
    <w:rsid w:val="00031692"/>
    <w:rsid w:val="00032531"/>
    <w:rsid w:val="000325A0"/>
    <w:rsid w:val="00032BCB"/>
    <w:rsid w:val="00034DCB"/>
    <w:rsid w:val="00040B99"/>
    <w:rsid w:val="000420DA"/>
    <w:rsid w:val="000471BF"/>
    <w:rsid w:val="00047B68"/>
    <w:rsid w:val="00052600"/>
    <w:rsid w:val="0005643C"/>
    <w:rsid w:val="0006264A"/>
    <w:rsid w:val="00065A6B"/>
    <w:rsid w:val="00066764"/>
    <w:rsid w:val="000705FF"/>
    <w:rsid w:val="000733B3"/>
    <w:rsid w:val="00073D77"/>
    <w:rsid w:val="00081655"/>
    <w:rsid w:val="00084BAB"/>
    <w:rsid w:val="000864E0"/>
    <w:rsid w:val="00087301"/>
    <w:rsid w:val="000969B3"/>
    <w:rsid w:val="000A26CA"/>
    <w:rsid w:val="000A5F42"/>
    <w:rsid w:val="000C34E2"/>
    <w:rsid w:val="000C3D48"/>
    <w:rsid w:val="000C3FB4"/>
    <w:rsid w:val="000D4B4D"/>
    <w:rsid w:val="000E1322"/>
    <w:rsid w:val="000E6C4C"/>
    <w:rsid w:val="000F223B"/>
    <w:rsid w:val="000F73D7"/>
    <w:rsid w:val="001020EE"/>
    <w:rsid w:val="00110B7D"/>
    <w:rsid w:val="00112E44"/>
    <w:rsid w:val="00113256"/>
    <w:rsid w:val="00113D58"/>
    <w:rsid w:val="001200CB"/>
    <w:rsid w:val="00122ADA"/>
    <w:rsid w:val="00126546"/>
    <w:rsid w:val="001371D9"/>
    <w:rsid w:val="001373CD"/>
    <w:rsid w:val="001378A3"/>
    <w:rsid w:val="00146435"/>
    <w:rsid w:val="00153D94"/>
    <w:rsid w:val="00155582"/>
    <w:rsid w:val="00161590"/>
    <w:rsid w:val="00161C85"/>
    <w:rsid w:val="00163BE3"/>
    <w:rsid w:val="001704D1"/>
    <w:rsid w:val="0017056E"/>
    <w:rsid w:val="00171CC0"/>
    <w:rsid w:val="001723AC"/>
    <w:rsid w:val="00175494"/>
    <w:rsid w:val="00175629"/>
    <w:rsid w:val="001830EC"/>
    <w:rsid w:val="00183534"/>
    <w:rsid w:val="0018758E"/>
    <w:rsid w:val="00194A12"/>
    <w:rsid w:val="00197A4A"/>
    <w:rsid w:val="00197ACB"/>
    <w:rsid w:val="001A26DD"/>
    <w:rsid w:val="001A4A96"/>
    <w:rsid w:val="001A5900"/>
    <w:rsid w:val="001A5D05"/>
    <w:rsid w:val="001A796C"/>
    <w:rsid w:val="001B0E7B"/>
    <w:rsid w:val="001B248E"/>
    <w:rsid w:val="001B2614"/>
    <w:rsid w:val="001B37B8"/>
    <w:rsid w:val="001B552F"/>
    <w:rsid w:val="001C0893"/>
    <w:rsid w:val="001C1303"/>
    <w:rsid w:val="001C1BD1"/>
    <w:rsid w:val="001C2B4B"/>
    <w:rsid w:val="001C5BB1"/>
    <w:rsid w:val="001C5F09"/>
    <w:rsid w:val="001C70B2"/>
    <w:rsid w:val="001D0612"/>
    <w:rsid w:val="001D37C7"/>
    <w:rsid w:val="001D6888"/>
    <w:rsid w:val="001E4E1D"/>
    <w:rsid w:val="001E562B"/>
    <w:rsid w:val="001F0D9D"/>
    <w:rsid w:val="001F6248"/>
    <w:rsid w:val="00221481"/>
    <w:rsid w:val="00223F42"/>
    <w:rsid w:val="00224EFF"/>
    <w:rsid w:val="002276DC"/>
    <w:rsid w:val="00227E00"/>
    <w:rsid w:val="002307CB"/>
    <w:rsid w:val="00231046"/>
    <w:rsid w:val="00234F21"/>
    <w:rsid w:val="00236A5F"/>
    <w:rsid w:val="0024240B"/>
    <w:rsid w:val="00242659"/>
    <w:rsid w:val="002428F7"/>
    <w:rsid w:val="00242A9E"/>
    <w:rsid w:val="0024315F"/>
    <w:rsid w:val="0024631C"/>
    <w:rsid w:val="00252C9A"/>
    <w:rsid w:val="00254E56"/>
    <w:rsid w:val="00256309"/>
    <w:rsid w:val="00257484"/>
    <w:rsid w:val="00260636"/>
    <w:rsid w:val="00262EA6"/>
    <w:rsid w:val="00271AFA"/>
    <w:rsid w:val="00275C5C"/>
    <w:rsid w:val="00275C78"/>
    <w:rsid w:val="00275F5D"/>
    <w:rsid w:val="00280594"/>
    <w:rsid w:val="00281EE3"/>
    <w:rsid w:val="00282B56"/>
    <w:rsid w:val="00284E4A"/>
    <w:rsid w:val="002A3799"/>
    <w:rsid w:val="002A3BCC"/>
    <w:rsid w:val="002A4516"/>
    <w:rsid w:val="002A569F"/>
    <w:rsid w:val="002A5B2C"/>
    <w:rsid w:val="002A7066"/>
    <w:rsid w:val="002B001E"/>
    <w:rsid w:val="002B09B7"/>
    <w:rsid w:val="002B493C"/>
    <w:rsid w:val="002B75A9"/>
    <w:rsid w:val="002C21B0"/>
    <w:rsid w:val="002C3003"/>
    <w:rsid w:val="002C5D55"/>
    <w:rsid w:val="002E2FB3"/>
    <w:rsid w:val="002F327B"/>
    <w:rsid w:val="00301626"/>
    <w:rsid w:val="003059EC"/>
    <w:rsid w:val="00316727"/>
    <w:rsid w:val="00316CCD"/>
    <w:rsid w:val="00324F7E"/>
    <w:rsid w:val="0032526F"/>
    <w:rsid w:val="003316F4"/>
    <w:rsid w:val="003323BC"/>
    <w:rsid w:val="00341720"/>
    <w:rsid w:val="00343991"/>
    <w:rsid w:val="00346D42"/>
    <w:rsid w:val="00346E11"/>
    <w:rsid w:val="00351364"/>
    <w:rsid w:val="00351A5A"/>
    <w:rsid w:val="003601C0"/>
    <w:rsid w:val="003635F5"/>
    <w:rsid w:val="00371080"/>
    <w:rsid w:val="0037146D"/>
    <w:rsid w:val="00372A88"/>
    <w:rsid w:val="00381A0F"/>
    <w:rsid w:val="00381E8E"/>
    <w:rsid w:val="00390F66"/>
    <w:rsid w:val="00392D07"/>
    <w:rsid w:val="00393B4D"/>
    <w:rsid w:val="003A1B3A"/>
    <w:rsid w:val="003A40F5"/>
    <w:rsid w:val="003A5BF3"/>
    <w:rsid w:val="003A7FCB"/>
    <w:rsid w:val="003B3487"/>
    <w:rsid w:val="003B5B8C"/>
    <w:rsid w:val="003B7ADD"/>
    <w:rsid w:val="003C554E"/>
    <w:rsid w:val="003C5E16"/>
    <w:rsid w:val="003C7841"/>
    <w:rsid w:val="003D15AE"/>
    <w:rsid w:val="003D5EAA"/>
    <w:rsid w:val="003D79B1"/>
    <w:rsid w:val="003E74EE"/>
    <w:rsid w:val="003F0552"/>
    <w:rsid w:val="003F3BC2"/>
    <w:rsid w:val="003F5172"/>
    <w:rsid w:val="003F725B"/>
    <w:rsid w:val="00401ED1"/>
    <w:rsid w:val="0040224C"/>
    <w:rsid w:val="004101DC"/>
    <w:rsid w:val="00411852"/>
    <w:rsid w:val="004118D0"/>
    <w:rsid w:val="00413397"/>
    <w:rsid w:val="00413EE1"/>
    <w:rsid w:val="00415494"/>
    <w:rsid w:val="004164BB"/>
    <w:rsid w:val="0042000E"/>
    <w:rsid w:val="00421ECE"/>
    <w:rsid w:val="004228F2"/>
    <w:rsid w:val="00422FEB"/>
    <w:rsid w:val="0042435E"/>
    <w:rsid w:val="004315F5"/>
    <w:rsid w:val="00433456"/>
    <w:rsid w:val="00433DFA"/>
    <w:rsid w:val="00435D67"/>
    <w:rsid w:val="0043642C"/>
    <w:rsid w:val="0043704E"/>
    <w:rsid w:val="00461653"/>
    <w:rsid w:val="00462748"/>
    <w:rsid w:val="00464A58"/>
    <w:rsid w:val="00464E0D"/>
    <w:rsid w:val="00470721"/>
    <w:rsid w:val="00470C19"/>
    <w:rsid w:val="00471494"/>
    <w:rsid w:val="00473D2D"/>
    <w:rsid w:val="00491C26"/>
    <w:rsid w:val="004A19B8"/>
    <w:rsid w:val="004A2125"/>
    <w:rsid w:val="004A38F6"/>
    <w:rsid w:val="004B0C95"/>
    <w:rsid w:val="004B1266"/>
    <w:rsid w:val="004B4EB6"/>
    <w:rsid w:val="004B4F34"/>
    <w:rsid w:val="004C04D3"/>
    <w:rsid w:val="004C083C"/>
    <w:rsid w:val="004C3BDE"/>
    <w:rsid w:val="004C62AA"/>
    <w:rsid w:val="004C67C6"/>
    <w:rsid w:val="004D29DE"/>
    <w:rsid w:val="004E1094"/>
    <w:rsid w:val="004E2E81"/>
    <w:rsid w:val="0050662A"/>
    <w:rsid w:val="00510EAC"/>
    <w:rsid w:val="00526875"/>
    <w:rsid w:val="00532189"/>
    <w:rsid w:val="00542A57"/>
    <w:rsid w:val="00545068"/>
    <w:rsid w:val="0054635D"/>
    <w:rsid w:val="0056345B"/>
    <w:rsid w:val="005635C8"/>
    <w:rsid w:val="00565974"/>
    <w:rsid w:val="005732C0"/>
    <w:rsid w:val="0057336D"/>
    <w:rsid w:val="0057489A"/>
    <w:rsid w:val="00574ACF"/>
    <w:rsid w:val="00581588"/>
    <w:rsid w:val="0058540B"/>
    <w:rsid w:val="00587C87"/>
    <w:rsid w:val="00590B80"/>
    <w:rsid w:val="005B05F4"/>
    <w:rsid w:val="005B3134"/>
    <w:rsid w:val="005B4E61"/>
    <w:rsid w:val="005B595A"/>
    <w:rsid w:val="005B66C2"/>
    <w:rsid w:val="005C1AA0"/>
    <w:rsid w:val="005C66A6"/>
    <w:rsid w:val="005D2465"/>
    <w:rsid w:val="005D4A40"/>
    <w:rsid w:val="005D79A5"/>
    <w:rsid w:val="005E33DD"/>
    <w:rsid w:val="005E3E4C"/>
    <w:rsid w:val="005E4229"/>
    <w:rsid w:val="005E5181"/>
    <w:rsid w:val="005E540E"/>
    <w:rsid w:val="005E55FB"/>
    <w:rsid w:val="005E709A"/>
    <w:rsid w:val="005F16BB"/>
    <w:rsid w:val="00602AC1"/>
    <w:rsid w:val="00604098"/>
    <w:rsid w:val="00606DFF"/>
    <w:rsid w:val="00607115"/>
    <w:rsid w:val="006108F2"/>
    <w:rsid w:val="00620509"/>
    <w:rsid w:val="00620768"/>
    <w:rsid w:val="006221DD"/>
    <w:rsid w:val="00624477"/>
    <w:rsid w:val="0062594B"/>
    <w:rsid w:val="00627997"/>
    <w:rsid w:val="006306A8"/>
    <w:rsid w:val="006307C1"/>
    <w:rsid w:val="00631406"/>
    <w:rsid w:val="006324FF"/>
    <w:rsid w:val="00632787"/>
    <w:rsid w:val="006351D6"/>
    <w:rsid w:val="00636E0D"/>
    <w:rsid w:val="0064142F"/>
    <w:rsid w:val="00643CB4"/>
    <w:rsid w:val="00644B9D"/>
    <w:rsid w:val="00656427"/>
    <w:rsid w:val="00660255"/>
    <w:rsid w:val="00661FE1"/>
    <w:rsid w:val="00663EA5"/>
    <w:rsid w:val="00666D94"/>
    <w:rsid w:val="00681509"/>
    <w:rsid w:val="00682146"/>
    <w:rsid w:val="00682E53"/>
    <w:rsid w:val="00683E6F"/>
    <w:rsid w:val="006862C0"/>
    <w:rsid w:val="00690811"/>
    <w:rsid w:val="00690957"/>
    <w:rsid w:val="00693DAE"/>
    <w:rsid w:val="00697039"/>
    <w:rsid w:val="006971F3"/>
    <w:rsid w:val="006A12BE"/>
    <w:rsid w:val="006B16A5"/>
    <w:rsid w:val="006B337D"/>
    <w:rsid w:val="006C2787"/>
    <w:rsid w:val="006C74A3"/>
    <w:rsid w:val="006D1381"/>
    <w:rsid w:val="006D31BC"/>
    <w:rsid w:val="006D4979"/>
    <w:rsid w:val="006D508B"/>
    <w:rsid w:val="006D6625"/>
    <w:rsid w:val="006E7943"/>
    <w:rsid w:val="006F24EA"/>
    <w:rsid w:val="00702D05"/>
    <w:rsid w:val="00703009"/>
    <w:rsid w:val="00704CA9"/>
    <w:rsid w:val="0071048D"/>
    <w:rsid w:val="00710F86"/>
    <w:rsid w:val="007111A8"/>
    <w:rsid w:val="00714CD2"/>
    <w:rsid w:val="00723B5F"/>
    <w:rsid w:val="00725C33"/>
    <w:rsid w:val="00731BC3"/>
    <w:rsid w:val="00731FF7"/>
    <w:rsid w:val="00733216"/>
    <w:rsid w:val="00734159"/>
    <w:rsid w:val="00741192"/>
    <w:rsid w:val="007430BF"/>
    <w:rsid w:val="00743A33"/>
    <w:rsid w:val="00743DF3"/>
    <w:rsid w:val="00745AE2"/>
    <w:rsid w:val="00746080"/>
    <w:rsid w:val="0075144A"/>
    <w:rsid w:val="00760A97"/>
    <w:rsid w:val="00771313"/>
    <w:rsid w:val="00774BA6"/>
    <w:rsid w:val="00775C3B"/>
    <w:rsid w:val="00780C3D"/>
    <w:rsid w:val="00781AEF"/>
    <w:rsid w:val="00781C54"/>
    <w:rsid w:val="007828D7"/>
    <w:rsid w:val="007852D0"/>
    <w:rsid w:val="00786329"/>
    <w:rsid w:val="007918B3"/>
    <w:rsid w:val="00792C7D"/>
    <w:rsid w:val="00794293"/>
    <w:rsid w:val="00794A4D"/>
    <w:rsid w:val="007A159E"/>
    <w:rsid w:val="007A2D74"/>
    <w:rsid w:val="007A33B9"/>
    <w:rsid w:val="007A35A0"/>
    <w:rsid w:val="007A4B9B"/>
    <w:rsid w:val="007A5234"/>
    <w:rsid w:val="007A764D"/>
    <w:rsid w:val="007B7854"/>
    <w:rsid w:val="007C1CF5"/>
    <w:rsid w:val="007C457F"/>
    <w:rsid w:val="007C56A1"/>
    <w:rsid w:val="007C6454"/>
    <w:rsid w:val="007D5B5D"/>
    <w:rsid w:val="007D6F3B"/>
    <w:rsid w:val="007E01E0"/>
    <w:rsid w:val="007E5CA0"/>
    <w:rsid w:val="007E610C"/>
    <w:rsid w:val="007E6297"/>
    <w:rsid w:val="007E7486"/>
    <w:rsid w:val="007F0B93"/>
    <w:rsid w:val="007F2ECA"/>
    <w:rsid w:val="008019B9"/>
    <w:rsid w:val="00802960"/>
    <w:rsid w:val="0080547B"/>
    <w:rsid w:val="00805663"/>
    <w:rsid w:val="00811708"/>
    <w:rsid w:val="00813007"/>
    <w:rsid w:val="0081404B"/>
    <w:rsid w:val="00816B90"/>
    <w:rsid w:val="00817799"/>
    <w:rsid w:val="00821796"/>
    <w:rsid w:val="00822F5F"/>
    <w:rsid w:val="00824FD3"/>
    <w:rsid w:val="008261E4"/>
    <w:rsid w:val="00826589"/>
    <w:rsid w:val="00830070"/>
    <w:rsid w:val="00830F91"/>
    <w:rsid w:val="00834644"/>
    <w:rsid w:val="00834BCC"/>
    <w:rsid w:val="008355D9"/>
    <w:rsid w:val="00836451"/>
    <w:rsid w:val="00850D54"/>
    <w:rsid w:val="00852E2B"/>
    <w:rsid w:val="00862C50"/>
    <w:rsid w:val="00863F8D"/>
    <w:rsid w:val="008714B0"/>
    <w:rsid w:val="00872A7F"/>
    <w:rsid w:val="00876331"/>
    <w:rsid w:val="00876677"/>
    <w:rsid w:val="00877B90"/>
    <w:rsid w:val="00880726"/>
    <w:rsid w:val="0089025E"/>
    <w:rsid w:val="008A0736"/>
    <w:rsid w:val="008A3532"/>
    <w:rsid w:val="008A3544"/>
    <w:rsid w:val="008B48B8"/>
    <w:rsid w:val="008B5348"/>
    <w:rsid w:val="008B58F8"/>
    <w:rsid w:val="008B62FF"/>
    <w:rsid w:val="008C0712"/>
    <w:rsid w:val="008C4520"/>
    <w:rsid w:val="008C5F09"/>
    <w:rsid w:val="008D470F"/>
    <w:rsid w:val="008D47FC"/>
    <w:rsid w:val="008D4B44"/>
    <w:rsid w:val="008E1F8F"/>
    <w:rsid w:val="008E3020"/>
    <w:rsid w:val="008E3F81"/>
    <w:rsid w:val="008E4768"/>
    <w:rsid w:val="008E761E"/>
    <w:rsid w:val="008E7F61"/>
    <w:rsid w:val="008F105F"/>
    <w:rsid w:val="008F77B3"/>
    <w:rsid w:val="009008F5"/>
    <w:rsid w:val="00900B78"/>
    <w:rsid w:val="00904CC1"/>
    <w:rsid w:val="009066AF"/>
    <w:rsid w:val="00906D66"/>
    <w:rsid w:val="00910578"/>
    <w:rsid w:val="00912050"/>
    <w:rsid w:val="00912A31"/>
    <w:rsid w:val="00912E48"/>
    <w:rsid w:val="00912E68"/>
    <w:rsid w:val="00923159"/>
    <w:rsid w:val="00925E8A"/>
    <w:rsid w:val="0092746F"/>
    <w:rsid w:val="00935DC9"/>
    <w:rsid w:val="00937F3C"/>
    <w:rsid w:val="009446C0"/>
    <w:rsid w:val="00947BAF"/>
    <w:rsid w:val="00951883"/>
    <w:rsid w:val="009527E3"/>
    <w:rsid w:val="009533E1"/>
    <w:rsid w:val="0096082E"/>
    <w:rsid w:val="00961347"/>
    <w:rsid w:val="00962C2F"/>
    <w:rsid w:val="00964753"/>
    <w:rsid w:val="00965AD4"/>
    <w:rsid w:val="009666BE"/>
    <w:rsid w:val="00967410"/>
    <w:rsid w:val="00967D73"/>
    <w:rsid w:val="00970B9A"/>
    <w:rsid w:val="00971C4F"/>
    <w:rsid w:val="009745B6"/>
    <w:rsid w:val="0098119A"/>
    <w:rsid w:val="009823EE"/>
    <w:rsid w:val="00984AAF"/>
    <w:rsid w:val="00985521"/>
    <w:rsid w:val="00991B09"/>
    <w:rsid w:val="0099319C"/>
    <w:rsid w:val="00993CB2"/>
    <w:rsid w:val="009A0251"/>
    <w:rsid w:val="009A218B"/>
    <w:rsid w:val="009A5166"/>
    <w:rsid w:val="009A76F8"/>
    <w:rsid w:val="009B2B83"/>
    <w:rsid w:val="009C49F8"/>
    <w:rsid w:val="009D0F93"/>
    <w:rsid w:val="009D56E7"/>
    <w:rsid w:val="009D77CC"/>
    <w:rsid w:val="009D797A"/>
    <w:rsid w:val="009D7A97"/>
    <w:rsid w:val="009E2423"/>
    <w:rsid w:val="009E5490"/>
    <w:rsid w:val="009E55D7"/>
    <w:rsid w:val="009F4150"/>
    <w:rsid w:val="009F5665"/>
    <w:rsid w:val="009F5DAD"/>
    <w:rsid w:val="009F71CB"/>
    <w:rsid w:val="009F752C"/>
    <w:rsid w:val="00A01BCA"/>
    <w:rsid w:val="00A07088"/>
    <w:rsid w:val="00A10458"/>
    <w:rsid w:val="00A104E5"/>
    <w:rsid w:val="00A14629"/>
    <w:rsid w:val="00A153B6"/>
    <w:rsid w:val="00A164D5"/>
    <w:rsid w:val="00A20C2D"/>
    <w:rsid w:val="00A20E4F"/>
    <w:rsid w:val="00A25601"/>
    <w:rsid w:val="00A2678D"/>
    <w:rsid w:val="00A273C3"/>
    <w:rsid w:val="00A30C37"/>
    <w:rsid w:val="00A34275"/>
    <w:rsid w:val="00A3671B"/>
    <w:rsid w:val="00A36C65"/>
    <w:rsid w:val="00A37AE9"/>
    <w:rsid w:val="00A41BBE"/>
    <w:rsid w:val="00A443E3"/>
    <w:rsid w:val="00A45BDD"/>
    <w:rsid w:val="00A46060"/>
    <w:rsid w:val="00A46A0A"/>
    <w:rsid w:val="00A51E0E"/>
    <w:rsid w:val="00A553F8"/>
    <w:rsid w:val="00A5606F"/>
    <w:rsid w:val="00A56852"/>
    <w:rsid w:val="00A56D0C"/>
    <w:rsid w:val="00A571EC"/>
    <w:rsid w:val="00A623E8"/>
    <w:rsid w:val="00A649E7"/>
    <w:rsid w:val="00A65DFA"/>
    <w:rsid w:val="00A6708F"/>
    <w:rsid w:val="00A71BF6"/>
    <w:rsid w:val="00A72AF9"/>
    <w:rsid w:val="00A74050"/>
    <w:rsid w:val="00A86F9A"/>
    <w:rsid w:val="00A95A81"/>
    <w:rsid w:val="00AA3329"/>
    <w:rsid w:val="00AA35E6"/>
    <w:rsid w:val="00AA50B6"/>
    <w:rsid w:val="00AA78FF"/>
    <w:rsid w:val="00AB3472"/>
    <w:rsid w:val="00AB3C13"/>
    <w:rsid w:val="00AC0F5D"/>
    <w:rsid w:val="00AC27EF"/>
    <w:rsid w:val="00AC4595"/>
    <w:rsid w:val="00AC659C"/>
    <w:rsid w:val="00AC66D9"/>
    <w:rsid w:val="00AC7CD7"/>
    <w:rsid w:val="00AD0762"/>
    <w:rsid w:val="00AE0209"/>
    <w:rsid w:val="00AE3DCF"/>
    <w:rsid w:val="00AE4452"/>
    <w:rsid w:val="00AE6604"/>
    <w:rsid w:val="00AE7C38"/>
    <w:rsid w:val="00AF1538"/>
    <w:rsid w:val="00AF2679"/>
    <w:rsid w:val="00AF2814"/>
    <w:rsid w:val="00AF5008"/>
    <w:rsid w:val="00AF6920"/>
    <w:rsid w:val="00B01F99"/>
    <w:rsid w:val="00B02B37"/>
    <w:rsid w:val="00B05276"/>
    <w:rsid w:val="00B132DB"/>
    <w:rsid w:val="00B15F5B"/>
    <w:rsid w:val="00B20A91"/>
    <w:rsid w:val="00B24295"/>
    <w:rsid w:val="00B24C05"/>
    <w:rsid w:val="00B26F80"/>
    <w:rsid w:val="00B31427"/>
    <w:rsid w:val="00B3166B"/>
    <w:rsid w:val="00B32FF9"/>
    <w:rsid w:val="00B33861"/>
    <w:rsid w:val="00B33E0B"/>
    <w:rsid w:val="00B40DE2"/>
    <w:rsid w:val="00B4377A"/>
    <w:rsid w:val="00B50210"/>
    <w:rsid w:val="00B50D8D"/>
    <w:rsid w:val="00B53955"/>
    <w:rsid w:val="00B53BFC"/>
    <w:rsid w:val="00B63C79"/>
    <w:rsid w:val="00B6408A"/>
    <w:rsid w:val="00B6478A"/>
    <w:rsid w:val="00B714B8"/>
    <w:rsid w:val="00B716E8"/>
    <w:rsid w:val="00B814CF"/>
    <w:rsid w:val="00B82C2C"/>
    <w:rsid w:val="00B85F35"/>
    <w:rsid w:val="00B8720B"/>
    <w:rsid w:val="00B876EF"/>
    <w:rsid w:val="00B91551"/>
    <w:rsid w:val="00B91FB5"/>
    <w:rsid w:val="00B9572B"/>
    <w:rsid w:val="00BA2598"/>
    <w:rsid w:val="00BA4697"/>
    <w:rsid w:val="00BA5893"/>
    <w:rsid w:val="00BB5378"/>
    <w:rsid w:val="00BB6F53"/>
    <w:rsid w:val="00BC086C"/>
    <w:rsid w:val="00BC0BD3"/>
    <w:rsid w:val="00BC5BA6"/>
    <w:rsid w:val="00BD0107"/>
    <w:rsid w:val="00BD2220"/>
    <w:rsid w:val="00BD4DBE"/>
    <w:rsid w:val="00BE0C33"/>
    <w:rsid w:val="00BE0FE9"/>
    <w:rsid w:val="00BE262C"/>
    <w:rsid w:val="00BE4C25"/>
    <w:rsid w:val="00BE6C3D"/>
    <w:rsid w:val="00BF42FE"/>
    <w:rsid w:val="00C02B29"/>
    <w:rsid w:val="00C06DA4"/>
    <w:rsid w:val="00C07606"/>
    <w:rsid w:val="00C12542"/>
    <w:rsid w:val="00C130EE"/>
    <w:rsid w:val="00C24725"/>
    <w:rsid w:val="00C30BA9"/>
    <w:rsid w:val="00C32396"/>
    <w:rsid w:val="00C32715"/>
    <w:rsid w:val="00C3541E"/>
    <w:rsid w:val="00C36A8F"/>
    <w:rsid w:val="00C401C8"/>
    <w:rsid w:val="00C42834"/>
    <w:rsid w:val="00C42FFA"/>
    <w:rsid w:val="00C47780"/>
    <w:rsid w:val="00C47C8C"/>
    <w:rsid w:val="00C507D8"/>
    <w:rsid w:val="00C51F5A"/>
    <w:rsid w:val="00C57018"/>
    <w:rsid w:val="00C62EAC"/>
    <w:rsid w:val="00C63F9F"/>
    <w:rsid w:val="00C6558E"/>
    <w:rsid w:val="00C66F97"/>
    <w:rsid w:val="00C7723C"/>
    <w:rsid w:val="00C838F5"/>
    <w:rsid w:val="00C841C0"/>
    <w:rsid w:val="00CA1AF4"/>
    <w:rsid w:val="00CA6068"/>
    <w:rsid w:val="00CA757A"/>
    <w:rsid w:val="00CB15E1"/>
    <w:rsid w:val="00CB3D46"/>
    <w:rsid w:val="00CB3D75"/>
    <w:rsid w:val="00CC0771"/>
    <w:rsid w:val="00CD1A87"/>
    <w:rsid w:val="00CD35F3"/>
    <w:rsid w:val="00CD5C93"/>
    <w:rsid w:val="00CD69CD"/>
    <w:rsid w:val="00CE342B"/>
    <w:rsid w:val="00CE63A5"/>
    <w:rsid w:val="00CF131F"/>
    <w:rsid w:val="00CF320C"/>
    <w:rsid w:val="00CF3A4B"/>
    <w:rsid w:val="00CF4001"/>
    <w:rsid w:val="00CF75DF"/>
    <w:rsid w:val="00D05837"/>
    <w:rsid w:val="00D12D8A"/>
    <w:rsid w:val="00D13E0C"/>
    <w:rsid w:val="00D20FB5"/>
    <w:rsid w:val="00D25896"/>
    <w:rsid w:val="00D26EE6"/>
    <w:rsid w:val="00D33918"/>
    <w:rsid w:val="00D34AAF"/>
    <w:rsid w:val="00D373A1"/>
    <w:rsid w:val="00D37C0F"/>
    <w:rsid w:val="00D4113F"/>
    <w:rsid w:val="00D43E8E"/>
    <w:rsid w:val="00D45661"/>
    <w:rsid w:val="00D45943"/>
    <w:rsid w:val="00D47D22"/>
    <w:rsid w:val="00D51865"/>
    <w:rsid w:val="00D51D0C"/>
    <w:rsid w:val="00D52ECE"/>
    <w:rsid w:val="00D55D13"/>
    <w:rsid w:val="00D56C54"/>
    <w:rsid w:val="00D6407A"/>
    <w:rsid w:val="00D64A19"/>
    <w:rsid w:val="00D7189B"/>
    <w:rsid w:val="00D7327C"/>
    <w:rsid w:val="00D74140"/>
    <w:rsid w:val="00D80045"/>
    <w:rsid w:val="00D93AD4"/>
    <w:rsid w:val="00DA2E9E"/>
    <w:rsid w:val="00DA6E56"/>
    <w:rsid w:val="00DA78DD"/>
    <w:rsid w:val="00DB0DF2"/>
    <w:rsid w:val="00DB1C65"/>
    <w:rsid w:val="00DC0C4C"/>
    <w:rsid w:val="00DC24E5"/>
    <w:rsid w:val="00DC3B05"/>
    <w:rsid w:val="00DC6705"/>
    <w:rsid w:val="00DD1EF6"/>
    <w:rsid w:val="00DD2DE8"/>
    <w:rsid w:val="00DE04B8"/>
    <w:rsid w:val="00DE2BFC"/>
    <w:rsid w:val="00DE38B4"/>
    <w:rsid w:val="00DE4482"/>
    <w:rsid w:val="00DE5D02"/>
    <w:rsid w:val="00DF1E91"/>
    <w:rsid w:val="00DF2102"/>
    <w:rsid w:val="00DF48CC"/>
    <w:rsid w:val="00DF78F3"/>
    <w:rsid w:val="00E005A9"/>
    <w:rsid w:val="00E03579"/>
    <w:rsid w:val="00E040CF"/>
    <w:rsid w:val="00E065BA"/>
    <w:rsid w:val="00E115A8"/>
    <w:rsid w:val="00E1166E"/>
    <w:rsid w:val="00E24DC0"/>
    <w:rsid w:val="00E2519C"/>
    <w:rsid w:val="00E25229"/>
    <w:rsid w:val="00E25F2A"/>
    <w:rsid w:val="00E271F7"/>
    <w:rsid w:val="00E30C30"/>
    <w:rsid w:val="00E315AB"/>
    <w:rsid w:val="00E34468"/>
    <w:rsid w:val="00E35EB1"/>
    <w:rsid w:val="00E363D2"/>
    <w:rsid w:val="00E41455"/>
    <w:rsid w:val="00E42AD2"/>
    <w:rsid w:val="00E50856"/>
    <w:rsid w:val="00E538CC"/>
    <w:rsid w:val="00E54BBD"/>
    <w:rsid w:val="00E54DBA"/>
    <w:rsid w:val="00E57DB7"/>
    <w:rsid w:val="00E63D7C"/>
    <w:rsid w:val="00E640D5"/>
    <w:rsid w:val="00E64C4F"/>
    <w:rsid w:val="00E66E2E"/>
    <w:rsid w:val="00E67691"/>
    <w:rsid w:val="00E714F6"/>
    <w:rsid w:val="00E80F90"/>
    <w:rsid w:val="00E87669"/>
    <w:rsid w:val="00E877F0"/>
    <w:rsid w:val="00E92237"/>
    <w:rsid w:val="00E951EF"/>
    <w:rsid w:val="00EA1A80"/>
    <w:rsid w:val="00EA387D"/>
    <w:rsid w:val="00EA3D54"/>
    <w:rsid w:val="00EA42F9"/>
    <w:rsid w:val="00EA487F"/>
    <w:rsid w:val="00EA5244"/>
    <w:rsid w:val="00EA56D9"/>
    <w:rsid w:val="00EA5CE3"/>
    <w:rsid w:val="00EA6AD8"/>
    <w:rsid w:val="00EA7AB8"/>
    <w:rsid w:val="00EB51C1"/>
    <w:rsid w:val="00EB5AE1"/>
    <w:rsid w:val="00EB5E0B"/>
    <w:rsid w:val="00EB7247"/>
    <w:rsid w:val="00EB7C2A"/>
    <w:rsid w:val="00EC05A3"/>
    <w:rsid w:val="00EC2171"/>
    <w:rsid w:val="00ED442D"/>
    <w:rsid w:val="00ED70C2"/>
    <w:rsid w:val="00EE18FF"/>
    <w:rsid w:val="00EE1D64"/>
    <w:rsid w:val="00EE3E29"/>
    <w:rsid w:val="00EE489F"/>
    <w:rsid w:val="00EE558A"/>
    <w:rsid w:val="00EF082D"/>
    <w:rsid w:val="00EF55AE"/>
    <w:rsid w:val="00F0647F"/>
    <w:rsid w:val="00F10CE3"/>
    <w:rsid w:val="00F12006"/>
    <w:rsid w:val="00F13443"/>
    <w:rsid w:val="00F14F3B"/>
    <w:rsid w:val="00F16362"/>
    <w:rsid w:val="00F207C7"/>
    <w:rsid w:val="00F22C78"/>
    <w:rsid w:val="00F24CCA"/>
    <w:rsid w:val="00F27185"/>
    <w:rsid w:val="00F34C4E"/>
    <w:rsid w:val="00F35D78"/>
    <w:rsid w:val="00F36B6D"/>
    <w:rsid w:val="00F41618"/>
    <w:rsid w:val="00F4166D"/>
    <w:rsid w:val="00F43FA3"/>
    <w:rsid w:val="00F4712F"/>
    <w:rsid w:val="00F4772B"/>
    <w:rsid w:val="00F510E5"/>
    <w:rsid w:val="00F55648"/>
    <w:rsid w:val="00F568F7"/>
    <w:rsid w:val="00F57C42"/>
    <w:rsid w:val="00F6343B"/>
    <w:rsid w:val="00F64F80"/>
    <w:rsid w:val="00F664DD"/>
    <w:rsid w:val="00F67E07"/>
    <w:rsid w:val="00F70046"/>
    <w:rsid w:val="00F713D0"/>
    <w:rsid w:val="00F72B15"/>
    <w:rsid w:val="00F748C2"/>
    <w:rsid w:val="00F74958"/>
    <w:rsid w:val="00F76C5C"/>
    <w:rsid w:val="00F804EC"/>
    <w:rsid w:val="00F8130F"/>
    <w:rsid w:val="00F818C7"/>
    <w:rsid w:val="00F819BB"/>
    <w:rsid w:val="00F81EF3"/>
    <w:rsid w:val="00F81F48"/>
    <w:rsid w:val="00F82066"/>
    <w:rsid w:val="00F84496"/>
    <w:rsid w:val="00F85DCB"/>
    <w:rsid w:val="00F86F9C"/>
    <w:rsid w:val="00F90D76"/>
    <w:rsid w:val="00F94055"/>
    <w:rsid w:val="00F95581"/>
    <w:rsid w:val="00FB17AB"/>
    <w:rsid w:val="00FB48CF"/>
    <w:rsid w:val="00FC002E"/>
    <w:rsid w:val="00FC4C23"/>
    <w:rsid w:val="00FC6204"/>
    <w:rsid w:val="00FC642E"/>
    <w:rsid w:val="00FD6229"/>
    <w:rsid w:val="00FE081C"/>
    <w:rsid w:val="00FE2AE4"/>
    <w:rsid w:val="00FE3F9E"/>
    <w:rsid w:val="00FE689F"/>
    <w:rsid w:val="00FE6B2F"/>
    <w:rsid w:val="00FE7809"/>
    <w:rsid w:val="00FF1223"/>
    <w:rsid w:val="00FF40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49B83D"/>
  <w15:docId w15:val="{E88F3B73-D4F6-4AD4-929B-579894736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5AB"/>
    <w:pPr>
      <w:spacing w:before="240" w:after="0"/>
    </w:pPr>
    <w:rPr>
      <w:rFonts w:ascii="Calibri" w:hAnsi="Calibri"/>
      <w14:ligatures w14:val="standardContextual"/>
    </w:rPr>
  </w:style>
  <w:style w:type="paragraph" w:styleId="Heading1">
    <w:name w:val="heading 1"/>
    <w:basedOn w:val="Normal"/>
    <w:next w:val="Normal"/>
    <w:link w:val="Heading1Char"/>
    <w:uiPriority w:val="9"/>
    <w:qFormat/>
    <w:rsid w:val="004C62AA"/>
    <w:pPr>
      <w:keepNext/>
      <w:keepLines/>
      <w:autoSpaceDE w:val="0"/>
      <w:autoSpaceDN w:val="0"/>
      <w:adjustRightInd w:val="0"/>
      <w:spacing w:before="480" w:line="240" w:lineRule="auto"/>
      <w:textAlignment w:val="center"/>
      <w:outlineLvl w:val="0"/>
    </w:pPr>
    <w:rPr>
      <w:rFonts w:ascii="Arial" w:hAnsi="Arial" w:cs="Manrope ExtraLight"/>
      <w:b/>
      <w:color w:val="033636" w:themeColor="text2"/>
      <w:sz w:val="48"/>
      <w:szCs w:val="32"/>
    </w:rPr>
  </w:style>
  <w:style w:type="paragraph" w:styleId="Heading2">
    <w:name w:val="heading 2"/>
    <w:basedOn w:val="Normal"/>
    <w:next w:val="Normal"/>
    <w:link w:val="Heading2Char"/>
    <w:uiPriority w:val="9"/>
    <w:unhideWhenUsed/>
    <w:qFormat/>
    <w:rsid w:val="004C62AA"/>
    <w:pPr>
      <w:keepNext/>
      <w:autoSpaceDE w:val="0"/>
      <w:autoSpaceDN w:val="0"/>
      <w:adjustRightInd w:val="0"/>
      <w:spacing w:before="360" w:line="240" w:lineRule="auto"/>
      <w:textAlignment w:val="center"/>
      <w:outlineLvl w:val="1"/>
    </w:pPr>
    <w:rPr>
      <w:rFonts w:ascii="Arial" w:hAnsi="Arial" w:cs="MyriadPro-Bold"/>
      <w:b/>
      <w:bCs/>
      <w:color w:val="033636" w:themeColor="text2"/>
      <w:sz w:val="38"/>
      <w:szCs w:val="28"/>
    </w:rPr>
  </w:style>
  <w:style w:type="paragraph" w:styleId="Heading3">
    <w:name w:val="heading 3"/>
    <w:basedOn w:val="Normal"/>
    <w:next w:val="Normal"/>
    <w:link w:val="Heading3Char"/>
    <w:uiPriority w:val="9"/>
    <w:unhideWhenUsed/>
    <w:qFormat/>
    <w:rsid w:val="004C62AA"/>
    <w:pPr>
      <w:keepNext/>
      <w:keepLines/>
      <w:autoSpaceDE w:val="0"/>
      <w:autoSpaceDN w:val="0"/>
      <w:adjustRightInd w:val="0"/>
      <w:spacing w:before="360" w:line="240" w:lineRule="auto"/>
      <w:textAlignment w:val="center"/>
      <w:outlineLvl w:val="2"/>
    </w:pPr>
    <w:rPr>
      <w:rFonts w:ascii="Arial" w:hAnsi="Arial" w:cs="MyriadPro-Regular"/>
      <w:bCs/>
      <w:color w:val="033636" w:themeColor="text2"/>
      <w:sz w:val="32"/>
      <w:szCs w:val="26"/>
    </w:rPr>
  </w:style>
  <w:style w:type="paragraph" w:styleId="Heading4">
    <w:name w:val="heading 4"/>
    <w:basedOn w:val="Normal"/>
    <w:next w:val="Normal"/>
    <w:link w:val="Heading4Char"/>
    <w:uiPriority w:val="9"/>
    <w:unhideWhenUsed/>
    <w:qFormat/>
    <w:rsid w:val="00BA2598"/>
    <w:pPr>
      <w:keepNext/>
      <w:keepLines/>
      <w:spacing w:before="360" w:line="240" w:lineRule="auto"/>
      <w:outlineLvl w:val="3"/>
    </w:pPr>
    <w:rPr>
      <w:rFonts w:ascii="Arial" w:eastAsiaTheme="majorEastAsia" w:hAnsi="Arial" w:cstheme="majorBidi"/>
      <w:bCs/>
      <w:iCs/>
      <w:sz w:val="28"/>
      <w:lang w:val="en-GB"/>
    </w:rPr>
  </w:style>
  <w:style w:type="paragraph" w:styleId="Heading5">
    <w:name w:val="heading 5"/>
    <w:basedOn w:val="Normal"/>
    <w:next w:val="Normal"/>
    <w:link w:val="Heading5Char"/>
    <w:uiPriority w:val="9"/>
    <w:unhideWhenUsed/>
    <w:rsid w:val="004C62AA"/>
    <w:pPr>
      <w:keepNext/>
      <w:spacing w:line="240" w:lineRule="auto"/>
      <w:outlineLvl w:val="4"/>
    </w:pPr>
    <w:rPr>
      <w:rFonts w:ascii="Arial" w:eastAsiaTheme="majorEastAsia" w:hAnsi="Arial" w:cstheme="majorBidi"/>
      <w:b/>
      <w:bCs/>
      <w:color w:val="033636" w:themeColor="text2"/>
      <w:sz w:val="24"/>
      <w:lang w:val="en-GB"/>
    </w:rPr>
  </w:style>
  <w:style w:type="paragraph" w:styleId="Heading6">
    <w:name w:val="heading 6"/>
    <w:basedOn w:val="Normal"/>
    <w:next w:val="Normal"/>
    <w:link w:val="Heading6Char"/>
    <w:uiPriority w:val="9"/>
    <w:unhideWhenUsed/>
    <w:rsid w:val="004C62AA"/>
    <w:pPr>
      <w:keepNext/>
      <w:keepLines/>
      <w:spacing w:line="240" w:lineRule="auto"/>
      <w:outlineLvl w:val="5"/>
    </w:pPr>
    <w:rPr>
      <w:rFonts w:ascii="Arial" w:eastAsiaTheme="majorEastAsia" w:hAnsi="Arial" w:cstheme="majorBidi"/>
      <w:bCs/>
      <w:i/>
      <w:iCs/>
      <w:color w:val="033636" w:themeColor="text2"/>
      <w:sz w:val="24"/>
      <w:lang w:val="en-GB"/>
    </w:rPr>
  </w:style>
  <w:style w:type="paragraph" w:styleId="Heading7">
    <w:name w:val="heading 7"/>
    <w:basedOn w:val="Normal"/>
    <w:next w:val="Normal"/>
    <w:link w:val="Heading7Char"/>
    <w:uiPriority w:val="9"/>
    <w:semiHidden/>
    <w:unhideWhenUsed/>
    <w:qFormat/>
    <w:rsid w:val="00741192"/>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41192"/>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41192"/>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62AA"/>
    <w:rPr>
      <w:rFonts w:ascii="Arial" w:hAnsi="Arial" w:cs="Manrope ExtraLight"/>
      <w:b/>
      <w:color w:val="033636" w:themeColor="text2"/>
      <w:sz w:val="48"/>
      <w:szCs w:val="32"/>
      <w14:ligatures w14:val="standardContextual"/>
    </w:rPr>
  </w:style>
  <w:style w:type="paragraph" w:customStyle="1" w:styleId="CDIFooter">
    <w:name w:val="CDI Footer"/>
    <w:basedOn w:val="Normal"/>
    <w:link w:val="CDIFooterChar"/>
    <w:qFormat/>
    <w:rsid w:val="00BA2598"/>
    <w:pPr>
      <w:spacing w:before="0" w:line="240" w:lineRule="auto"/>
    </w:pPr>
    <w:rPr>
      <w:sz w:val="18"/>
      <w:szCs w:val="18"/>
    </w:rPr>
  </w:style>
  <w:style w:type="character" w:customStyle="1" w:styleId="Heading2Char">
    <w:name w:val="Heading 2 Char"/>
    <w:basedOn w:val="DefaultParagraphFont"/>
    <w:link w:val="Heading2"/>
    <w:uiPriority w:val="9"/>
    <w:rsid w:val="004C62AA"/>
    <w:rPr>
      <w:rFonts w:ascii="Arial" w:hAnsi="Arial" w:cs="MyriadPro-Bold"/>
      <w:b/>
      <w:bCs/>
      <w:color w:val="033636" w:themeColor="text2"/>
      <w:sz w:val="38"/>
      <w:szCs w:val="28"/>
      <w14:ligatures w14:val="standardContextual"/>
    </w:rPr>
  </w:style>
  <w:style w:type="paragraph" w:customStyle="1" w:styleId="CDIBoxsummaryheading-Teal">
    <w:name w:val="CDI Box summary heading - Teal"/>
    <w:basedOn w:val="CDIBoxheading-Teal"/>
    <w:rsid w:val="00734159"/>
    <w:rPr>
      <w:b/>
      <w:bCs/>
      <w:sz w:val="48"/>
    </w:rPr>
  </w:style>
  <w:style w:type="paragraph" w:styleId="Title">
    <w:name w:val="Title"/>
    <w:basedOn w:val="Normal"/>
    <w:next w:val="Normal"/>
    <w:link w:val="TitleChar"/>
    <w:uiPriority w:val="10"/>
    <w:rsid w:val="00040B99"/>
    <w:pPr>
      <w:spacing w:before="480" w:line="240" w:lineRule="auto"/>
      <w:outlineLvl w:val="0"/>
    </w:pPr>
    <w:rPr>
      <w:rFonts w:ascii="Arial Narrow" w:hAnsi="Arial Narrow" w:cs="Arial"/>
      <w:b/>
      <w:bCs/>
      <w:sz w:val="52"/>
      <w:szCs w:val="54"/>
      <w:lang w:val="en-GB"/>
    </w:rPr>
  </w:style>
  <w:style w:type="character" w:customStyle="1" w:styleId="TitleChar">
    <w:name w:val="Title Char"/>
    <w:basedOn w:val="DefaultParagraphFont"/>
    <w:link w:val="Title"/>
    <w:uiPriority w:val="10"/>
    <w:rsid w:val="00040B99"/>
    <w:rPr>
      <w:rFonts w:ascii="Arial Narrow" w:hAnsi="Arial Narrow" w:cs="Arial"/>
      <w:b/>
      <w:bCs/>
      <w:sz w:val="52"/>
      <w:szCs w:val="54"/>
      <w:lang w:val="en-GB"/>
      <w14:ligatures w14:val="standardContextual"/>
    </w:rPr>
  </w:style>
  <w:style w:type="character" w:customStyle="1" w:styleId="Heading3Char">
    <w:name w:val="Heading 3 Char"/>
    <w:basedOn w:val="DefaultParagraphFont"/>
    <w:link w:val="Heading3"/>
    <w:uiPriority w:val="9"/>
    <w:rsid w:val="004C62AA"/>
    <w:rPr>
      <w:rFonts w:ascii="Arial" w:hAnsi="Arial" w:cs="MyriadPro-Regular"/>
      <w:bCs/>
      <w:color w:val="033636" w:themeColor="text2"/>
      <w:sz w:val="32"/>
      <w:szCs w:val="26"/>
      <w14:ligatures w14:val="standardContextual"/>
    </w:rPr>
  </w:style>
  <w:style w:type="character" w:customStyle="1" w:styleId="Heading4Char">
    <w:name w:val="Heading 4 Char"/>
    <w:basedOn w:val="DefaultParagraphFont"/>
    <w:link w:val="Heading4"/>
    <w:uiPriority w:val="9"/>
    <w:rsid w:val="00BA2598"/>
    <w:rPr>
      <w:rFonts w:ascii="Arial" w:eastAsiaTheme="majorEastAsia" w:hAnsi="Arial" w:cstheme="majorBidi"/>
      <w:bCs/>
      <w:iCs/>
      <w:sz w:val="28"/>
      <w:lang w:val="en-GB"/>
      <w14:ligatures w14:val="standardContextual"/>
    </w:rPr>
  </w:style>
  <w:style w:type="character" w:customStyle="1" w:styleId="Heading5Char">
    <w:name w:val="Heading 5 Char"/>
    <w:basedOn w:val="DefaultParagraphFont"/>
    <w:link w:val="Heading5"/>
    <w:uiPriority w:val="9"/>
    <w:rsid w:val="004C62AA"/>
    <w:rPr>
      <w:rFonts w:ascii="Arial" w:eastAsiaTheme="majorEastAsia" w:hAnsi="Arial" w:cstheme="majorBidi"/>
      <w:b/>
      <w:bCs/>
      <w:color w:val="033636" w:themeColor="text2"/>
      <w:sz w:val="24"/>
      <w:lang w:val="en-GB"/>
      <w14:ligatures w14:val="standardContextual"/>
    </w:rPr>
  </w:style>
  <w:style w:type="character" w:customStyle="1" w:styleId="Heading6Char">
    <w:name w:val="Heading 6 Char"/>
    <w:basedOn w:val="DefaultParagraphFont"/>
    <w:link w:val="Heading6"/>
    <w:uiPriority w:val="9"/>
    <w:rsid w:val="004C62AA"/>
    <w:rPr>
      <w:rFonts w:ascii="Arial" w:eastAsiaTheme="majorEastAsia" w:hAnsi="Arial" w:cstheme="majorBidi"/>
      <w:bCs/>
      <w:i/>
      <w:iCs/>
      <w:color w:val="033636" w:themeColor="text2"/>
      <w:sz w:val="24"/>
      <w:lang w:val="en-GB"/>
      <w14:ligatures w14:val="standardContextual"/>
    </w:rPr>
  </w:style>
  <w:style w:type="paragraph" w:styleId="Subtitle">
    <w:name w:val="Subtitle"/>
    <w:basedOn w:val="Normal"/>
    <w:next w:val="Normal"/>
    <w:link w:val="SubtitleChar"/>
    <w:uiPriority w:val="11"/>
    <w:qFormat/>
    <w:rsid w:val="00734159"/>
    <w:pPr>
      <w:keepNext/>
    </w:pPr>
    <w:rPr>
      <w:rFonts w:ascii="Arial Narrow" w:hAnsi="Arial Narrow"/>
      <w:sz w:val="26"/>
    </w:rPr>
  </w:style>
  <w:style w:type="character" w:customStyle="1" w:styleId="SubtitleChar">
    <w:name w:val="Subtitle Char"/>
    <w:basedOn w:val="DefaultParagraphFont"/>
    <w:link w:val="Subtitle"/>
    <w:uiPriority w:val="11"/>
    <w:rsid w:val="00734159"/>
    <w:rPr>
      <w:rFonts w:ascii="Arial Narrow" w:hAnsi="Arial Narrow"/>
      <w:sz w:val="26"/>
      <w14:ligatures w14:val="standardContextual"/>
    </w:rPr>
  </w:style>
  <w:style w:type="character" w:customStyle="1" w:styleId="Heading7Char">
    <w:name w:val="Heading 7 Char"/>
    <w:basedOn w:val="DefaultParagraphFont"/>
    <w:link w:val="Heading7"/>
    <w:uiPriority w:val="9"/>
    <w:semiHidden/>
    <w:rsid w:val="0074119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4119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41192"/>
    <w:rPr>
      <w:rFonts w:asciiTheme="majorHAnsi" w:eastAsiaTheme="majorEastAsia" w:hAnsiTheme="majorHAnsi" w:cstheme="majorBidi"/>
      <w:i/>
      <w:iCs/>
      <w:spacing w:val="5"/>
      <w:sz w:val="20"/>
      <w:szCs w:val="20"/>
    </w:rPr>
  </w:style>
  <w:style w:type="character" w:styleId="UnresolvedMention">
    <w:name w:val="Unresolved Mention"/>
    <w:basedOn w:val="DefaultParagraphFont"/>
    <w:uiPriority w:val="99"/>
    <w:semiHidden/>
    <w:unhideWhenUsed/>
    <w:rsid w:val="006307C1"/>
    <w:rPr>
      <w:color w:val="605E5C"/>
      <w:shd w:val="clear" w:color="auto" w:fill="E1DFDD"/>
    </w:rPr>
  </w:style>
  <w:style w:type="paragraph" w:styleId="Footer">
    <w:name w:val="footer"/>
    <w:basedOn w:val="Normal"/>
    <w:link w:val="FooterChar"/>
    <w:uiPriority w:val="99"/>
    <w:unhideWhenUsed/>
    <w:rsid w:val="00734159"/>
    <w:pPr>
      <w:tabs>
        <w:tab w:val="center" w:pos="4513"/>
        <w:tab w:val="right" w:pos="9026"/>
      </w:tabs>
      <w:spacing w:before="0" w:line="240" w:lineRule="auto"/>
    </w:pPr>
  </w:style>
  <w:style w:type="character" w:customStyle="1" w:styleId="FooterChar">
    <w:name w:val="Footer Char"/>
    <w:basedOn w:val="DefaultParagraphFont"/>
    <w:link w:val="Footer"/>
    <w:uiPriority w:val="99"/>
    <w:rsid w:val="00734159"/>
    <w:rPr>
      <w:rFonts w:ascii="Calibri" w:hAnsi="Calibri"/>
      <w14:ligatures w14:val="standardContextual"/>
    </w:rPr>
  </w:style>
  <w:style w:type="character" w:styleId="PlaceholderText">
    <w:name w:val="Placeholder Text"/>
    <w:basedOn w:val="DefaultParagraphFont"/>
    <w:uiPriority w:val="99"/>
    <w:semiHidden/>
    <w:rsid w:val="00433DFA"/>
    <w:rPr>
      <w:color w:val="808080"/>
    </w:rPr>
  </w:style>
  <w:style w:type="paragraph" w:styleId="Header">
    <w:name w:val="header"/>
    <w:basedOn w:val="Normal"/>
    <w:link w:val="HeaderChar"/>
    <w:uiPriority w:val="99"/>
    <w:unhideWhenUsed/>
    <w:rsid w:val="00690957"/>
    <w:pPr>
      <w:spacing w:before="0" w:line="240" w:lineRule="auto"/>
    </w:pPr>
  </w:style>
  <w:style w:type="paragraph" w:styleId="FootnoteText">
    <w:name w:val="footnote text"/>
    <w:basedOn w:val="Normal"/>
    <w:link w:val="FootnoteTextChar"/>
    <w:uiPriority w:val="99"/>
    <w:semiHidden/>
    <w:unhideWhenUsed/>
    <w:rsid w:val="00224EFF"/>
    <w:pPr>
      <w:spacing w:line="240" w:lineRule="auto"/>
    </w:pPr>
    <w:rPr>
      <w:sz w:val="20"/>
      <w:szCs w:val="20"/>
    </w:rPr>
  </w:style>
  <w:style w:type="character" w:customStyle="1" w:styleId="FootnoteTextChar">
    <w:name w:val="Footnote Text Char"/>
    <w:basedOn w:val="DefaultParagraphFont"/>
    <w:link w:val="FootnoteText"/>
    <w:uiPriority w:val="99"/>
    <w:semiHidden/>
    <w:rsid w:val="00224EFF"/>
    <w:rPr>
      <w:sz w:val="20"/>
      <w:szCs w:val="20"/>
    </w:rPr>
  </w:style>
  <w:style w:type="character" w:styleId="FootnoteReference">
    <w:name w:val="footnote reference"/>
    <w:basedOn w:val="DefaultParagraphFont"/>
    <w:uiPriority w:val="99"/>
    <w:semiHidden/>
    <w:unhideWhenUsed/>
    <w:rsid w:val="00224EFF"/>
    <w:rPr>
      <w:vertAlign w:val="superscript"/>
    </w:rPr>
  </w:style>
  <w:style w:type="paragraph" w:customStyle="1" w:styleId="Heading2-nospacebefore">
    <w:name w:val="Heading 2 - no space before"/>
    <w:basedOn w:val="Heading2"/>
    <w:link w:val="Heading2-nospacebeforeChar"/>
    <w:qFormat/>
    <w:rsid w:val="004C62AA"/>
    <w:pPr>
      <w:spacing w:before="0"/>
    </w:pPr>
    <w:rPr>
      <w:lang w:val="en-GB"/>
    </w:rPr>
  </w:style>
  <w:style w:type="character" w:customStyle="1" w:styleId="Bold">
    <w:name w:val="Bold"/>
    <w:uiPriority w:val="99"/>
    <w:rsid w:val="00526875"/>
    <w:rPr>
      <w:b/>
      <w:bCs/>
    </w:rPr>
  </w:style>
  <w:style w:type="paragraph" w:customStyle="1" w:styleId="CDITable-Title">
    <w:name w:val="CDI Table - Title"/>
    <w:basedOn w:val="Normal"/>
    <w:uiPriority w:val="99"/>
    <w:rsid w:val="00734159"/>
    <w:pPr>
      <w:keepNext/>
      <w:suppressAutoHyphens/>
      <w:autoSpaceDE w:val="0"/>
      <w:autoSpaceDN w:val="0"/>
      <w:adjustRightInd w:val="0"/>
      <w:spacing w:after="120"/>
      <w:textAlignment w:val="center"/>
    </w:pPr>
    <w:rPr>
      <w:rFonts w:cs="Minion3-Bold"/>
      <w:b/>
      <w:bCs/>
      <w:szCs w:val="23"/>
      <w:lang w:val="en-GB"/>
    </w:rPr>
  </w:style>
  <w:style w:type="paragraph" w:customStyle="1" w:styleId="CDITable-Footnote">
    <w:name w:val="CDI Table - Footnote"/>
    <w:basedOn w:val="Normal"/>
    <w:link w:val="CDITable-FootnoteChar"/>
    <w:uiPriority w:val="99"/>
    <w:rsid w:val="00734159"/>
    <w:pPr>
      <w:autoSpaceDE w:val="0"/>
      <w:autoSpaceDN w:val="0"/>
      <w:adjustRightInd w:val="0"/>
      <w:spacing w:before="40"/>
      <w:ind w:left="284" w:hanging="284"/>
      <w:textAlignment w:val="center"/>
    </w:pPr>
    <w:rPr>
      <w:rFonts w:cs="Minion3Caption-Regular"/>
      <w:sz w:val="16"/>
      <w:szCs w:val="16"/>
      <w:lang w:val="en-GB"/>
    </w:rPr>
  </w:style>
  <w:style w:type="paragraph" w:customStyle="1" w:styleId="CDICopyrighttext">
    <w:name w:val="CDI Copyright text"/>
    <w:basedOn w:val="CDIBoxtext-Green"/>
    <w:qFormat/>
    <w:rsid w:val="00C32715"/>
    <w:pPr>
      <w:spacing w:before="0"/>
    </w:pPr>
    <w:rPr>
      <w:sz w:val="20"/>
      <w:szCs w:val="20"/>
    </w:rPr>
  </w:style>
  <w:style w:type="paragraph" w:customStyle="1" w:styleId="CDICopyrightbullets">
    <w:name w:val="CDI Copyright bullets"/>
    <w:basedOn w:val="CDIBoxbullet-Green"/>
    <w:qFormat/>
    <w:rsid w:val="00AC7CD7"/>
    <w:pPr>
      <w:numPr>
        <w:numId w:val="30"/>
      </w:numPr>
      <w:spacing w:before="60" w:after="60"/>
      <w:ind w:left="284" w:hanging="284"/>
    </w:pPr>
    <w:rPr>
      <w:sz w:val="20"/>
      <w:szCs w:val="20"/>
    </w:rPr>
  </w:style>
  <w:style w:type="paragraph" w:customStyle="1" w:styleId="Heading3-nospacebefore">
    <w:name w:val="Heading 3 - no space before"/>
    <w:basedOn w:val="Heading3"/>
    <w:next w:val="Normal"/>
    <w:link w:val="Heading3-nospacebeforeChar"/>
    <w:qFormat/>
    <w:rsid w:val="00BA2598"/>
    <w:pPr>
      <w:spacing w:before="0"/>
    </w:pPr>
    <w:rPr>
      <w:lang w:val="en-GB"/>
    </w:rPr>
  </w:style>
  <w:style w:type="character" w:customStyle="1" w:styleId="CDITable-FootnoteChar">
    <w:name w:val="CDI Table - Footnote Char"/>
    <w:basedOn w:val="DefaultParagraphFont"/>
    <w:link w:val="CDITable-Footnote"/>
    <w:uiPriority w:val="99"/>
    <w:rsid w:val="00734159"/>
    <w:rPr>
      <w:rFonts w:ascii="Calibri" w:hAnsi="Calibri" w:cs="Minion3Caption-Regular"/>
      <w:sz w:val="16"/>
      <w:szCs w:val="16"/>
      <w:lang w:val="en-GB"/>
      <w14:ligatures w14:val="standardContextual"/>
    </w:rPr>
  </w:style>
  <w:style w:type="paragraph" w:customStyle="1" w:styleId="CDIBullets-L1">
    <w:name w:val="CDI Bullets - L1"/>
    <w:basedOn w:val="Normal"/>
    <w:uiPriority w:val="99"/>
    <w:rsid w:val="00734159"/>
    <w:pPr>
      <w:numPr>
        <w:numId w:val="29"/>
      </w:numPr>
      <w:suppressAutoHyphens/>
      <w:autoSpaceDE w:val="0"/>
      <w:autoSpaceDN w:val="0"/>
      <w:adjustRightInd w:val="0"/>
      <w:textAlignment w:val="center"/>
    </w:pPr>
    <w:rPr>
      <w:rFonts w:cs="Minion3-Regular"/>
      <w:szCs w:val="23"/>
      <w:lang w:val="en-GB"/>
    </w:rPr>
  </w:style>
  <w:style w:type="paragraph" w:customStyle="1" w:styleId="CDINumberedList1-L1">
    <w:name w:val="CDI Numbered List (1.) - L1"/>
    <w:basedOn w:val="Normal"/>
    <w:uiPriority w:val="99"/>
    <w:rsid w:val="00065A6B"/>
    <w:pPr>
      <w:keepLines/>
      <w:numPr>
        <w:numId w:val="17"/>
      </w:numPr>
      <w:autoSpaceDE w:val="0"/>
      <w:autoSpaceDN w:val="0"/>
      <w:adjustRightInd w:val="0"/>
      <w:ind w:left="397" w:hanging="397"/>
      <w:textAlignment w:val="center"/>
    </w:pPr>
    <w:rPr>
      <w:rFonts w:cs="Minion3-Regular"/>
      <w:szCs w:val="23"/>
      <w:lang w:val="en-GB"/>
    </w:rPr>
  </w:style>
  <w:style w:type="paragraph" w:customStyle="1" w:styleId="CDIBoxbullet-Green">
    <w:name w:val="CDI Box bullet - Green"/>
    <w:basedOn w:val="Normal"/>
    <w:qFormat/>
    <w:rsid w:val="00906D66"/>
    <w:pPr>
      <w:numPr>
        <w:numId w:val="33"/>
      </w:numPr>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spacing w:before="120" w:after="120"/>
      <w:contextualSpacing/>
    </w:pPr>
    <w:rPr>
      <w:rFonts w:eastAsia="Arial"/>
      <w:kern w:val="2"/>
      <w:szCs w:val="24"/>
      <w:lang w:eastAsia="en-US"/>
    </w:rPr>
  </w:style>
  <w:style w:type="paragraph" w:customStyle="1" w:styleId="CDIBoxheading-Teal">
    <w:name w:val="CDI Box heading - Teal"/>
    <w:basedOn w:val="Normal"/>
    <w:qFormat/>
    <w:rsid w:val="00734159"/>
    <w:pPr>
      <w:keepNext/>
      <w:keepLines/>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outlineLvl w:val="2"/>
    </w:pPr>
    <w:rPr>
      <w:rFonts w:ascii="Arial" w:eastAsia="Times New Roman" w:hAnsi="Arial" w:cs="Times New Roman"/>
      <w:color w:val="033636" w:themeColor="text2"/>
      <w:kern w:val="2"/>
      <w:sz w:val="32"/>
      <w:szCs w:val="24"/>
      <w:lang w:eastAsia="en-US"/>
    </w:rPr>
  </w:style>
  <w:style w:type="paragraph" w:customStyle="1" w:styleId="CDIBoxtext-Green">
    <w:name w:val="CDI Box text - Green"/>
    <w:basedOn w:val="Normal"/>
    <w:qFormat/>
    <w:rsid w:val="00734159"/>
    <w:pPr>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spacing w:before="120" w:after="120"/>
    </w:pPr>
  </w:style>
  <w:style w:type="paragraph" w:customStyle="1" w:styleId="CDIDOIinformation">
    <w:name w:val="CDI DOI information"/>
    <w:basedOn w:val="Normal"/>
    <w:qFormat/>
    <w:rsid w:val="00C02B29"/>
    <w:pPr>
      <w:spacing w:before="600"/>
    </w:pPr>
    <w:rPr>
      <w:rFonts w:ascii="Arial Narrow" w:hAnsi="Arial Narrow"/>
    </w:rPr>
  </w:style>
  <w:style w:type="paragraph" w:customStyle="1" w:styleId="CDIFigure-Placeholder">
    <w:name w:val="CDI Figure - Placeholder"/>
    <w:basedOn w:val="Normal"/>
    <w:qFormat/>
    <w:rsid w:val="00734159"/>
    <w:pPr>
      <w:spacing w:after="240"/>
      <w:jc w:val="center"/>
    </w:pPr>
  </w:style>
  <w:style w:type="paragraph" w:customStyle="1" w:styleId="CDITable-Firstfootnote">
    <w:name w:val="CDI Table - First footnote"/>
    <w:basedOn w:val="CDITable-Footnote"/>
    <w:qFormat/>
    <w:rsid w:val="00734159"/>
    <w:pPr>
      <w:spacing w:before="240"/>
    </w:pPr>
  </w:style>
  <w:style w:type="paragraph" w:customStyle="1" w:styleId="CDICopyrighttitle">
    <w:name w:val="CDI Copyright title"/>
    <w:basedOn w:val="CDIBoxheading-Teal"/>
    <w:qFormat/>
    <w:rsid w:val="00734159"/>
    <w:pPr>
      <w:spacing w:before="0" w:after="120"/>
      <w:outlineLvl w:val="0"/>
    </w:pPr>
    <w:rPr>
      <w:sz w:val="28"/>
    </w:rPr>
  </w:style>
  <w:style w:type="character" w:customStyle="1" w:styleId="CDICopyrighttextbullet">
    <w:name w:val="CDI Copyright text bullet"/>
    <w:basedOn w:val="DefaultParagraphFont"/>
    <w:uiPriority w:val="1"/>
    <w:qFormat/>
    <w:rsid w:val="00734159"/>
    <w:rPr>
      <w:rFonts w:cs="Arial"/>
      <w:color w:val="033636" w:themeColor="text2"/>
    </w:rPr>
  </w:style>
  <w:style w:type="paragraph" w:customStyle="1" w:styleId="CDICopyrightheading">
    <w:name w:val="CDI Copyright heading"/>
    <w:basedOn w:val="CDICopyrighttext"/>
    <w:qFormat/>
    <w:rsid w:val="00C32715"/>
    <w:pPr>
      <w:spacing w:before="120" w:after="0"/>
    </w:pPr>
    <w:rPr>
      <w:b/>
      <w:bCs/>
    </w:rPr>
  </w:style>
  <w:style w:type="character" w:styleId="Hyperlink">
    <w:name w:val="Hyperlink"/>
    <w:basedOn w:val="DefaultParagraphFont"/>
    <w:uiPriority w:val="99"/>
    <w:unhideWhenUsed/>
    <w:rsid w:val="00862C50"/>
    <w:rPr>
      <w:color w:val="083E9C" w:themeColor="accent1"/>
      <w:u w:val="single"/>
    </w:rPr>
  </w:style>
  <w:style w:type="character" w:customStyle="1" w:styleId="HeaderChar">
    <w:name w:val="Header Char"/>
    <w:basedOn w:val="DefaultParagraphFont"/>
    <w:link w:val="Header"/>
    <w:uiPriority w:val="99"/>
    <w:rsid w:val="00690957"/>
    <w:rPr>
      <w:rFonts w:ascii="Calibri" w:hAnsi="Calibri"/>
      <w14:ligatures w14:val="standardContextual"/>
    </w:rPr>
  </w:style>
  <w:style w:type="paragraph" w:customStyle="1" w:styleId="Normal-morespace">
    <w:name w:val="Normal - more space"/>
    <w:basedOn w:val="Normal"/>
    <w:qFormat/>
    <w:rsid w:val="0037146D"/>
    <w:pPr>
      <w:spacing w:after="240"/>
    </w:pPr>
  </w:style>
  <w:style w:type="paragraph" w:customStyle="1" w:styleId="CDITable-HeaderRowLeft">
    <w:name w:val="CDI Table - Header Row Left"/>
    <w:basedOn w:val="CDITable-Title"/>
    <w:qFormat/>
    <w:rsid w:val="00734159"/>
    <w:pPr>
      <w:spacing w:beforeAutospacing="1" w:afterAutospacing="1" w:line="240" w:lineRule="auto"/>
    </w:pPr>
    <w:rPr>
      <w:color w:val="FFFFFF" w:themeColor="background1"/>
      <w:sz w:val="18"/>
    </w:rPr>
  </w:style>
  <w:style w:type="paragraph" w:customStyle="1" w:styleId="CDITable-RowLeft">
    <w:name w:val="CDI Table - Row Left"/>
    <w:basedOn w:val="Normal"/>
    <w:qFormat/>
    <w:rsid w:val="00734159"/>
    <w:pPr>
      <w:spacing w:before="100" w:beforeAutospacing="1" w:after="100" w:afterAutospacing="1" w:line="240" w:lineRule="auto"/>
    </w:pPr>
    <w:rPr>
      <w:sz w:val="18"/>
    </w:rPr>
  </w:style>
  <w:style w:type="paragraph" w:customStyle="1" w:styleId="CDITable-TotalRowLeft">
    <w:name w:val="CDI Table - Total Row Left"/>
    <w:basedOn w:val="Normal"/>
    <w:qFormat/>
    <w:rsid w:val="00734159"/>
    <w:pPr>
      <w:spacing w:before="100" w:beforeAutospacing="1" w:after="100" w:afterAutospacing="1" w:line="240" w:lineRule="auto"/>
    </w:pPr>
    <w:rPr>
      <w:b/>
      <w:sz w:val="18"/>
      <w:lang w:val="en-GB"/>
    </w:rPr>
  </w:style>
  <w:style w:type="paragraph" w:customStyle="1" w:styleId="CDITable-TotalRowCentre">
    <w:name w:val="CDI Table - Total Row Centre"/>
    <w:basedOn w:val="CDITable-TotalRowLeft"/>
    <w:qFormat/>
    <w:rsid w:val="00734159"/>
    <w:pPr>
      <w:jc w:val="center"/>
    </w:pPr>
  </w:style>
  <w:style w:type="paragraph" w:customStyle="1" w:styleId="CDITable-RowCentre">
    <w:name w:val="CDI Table - Row Centre"/>
    <w:basedOn w:val="CDITable-RowLeft"/>
    <w:qFormat/>
    <w:rsid w:val="00734159"/>
    <w:pPr>
      <w:jc w:val="center"/>
    </w:pPr>
    <w:rPr>
      <w:lang w:val="en-GB"/>
    </w:rPr>
  </w:style>
  <w:style w:type="paragraph" w:customStyle="1" w:styleId="CDITable-HeaderRowCentre">
    <w:name w:val="CDI Table - Header Row Centre"/>
    <w:basedOn w:val="Normal"/>
    <w:qFormat/>
    <w:rsid w:val="00734159"/>
    <w:pPr>
      <w:spacing w:beforeAutospacing="1" w:afterAutospacing="1" w:line="240" w:lineRule="auto"/>
      <w:jc w:val="center"/>
    </w:pPr>
    <w:rPr>
      <w:b/>
      <w:color w:val="FFFFFF" w:themeColor="background1"/>
      <w:sz w:val="18"/>
      <w:lang w:val="en-GB"/>
    </w:rPr>
  </w:style>
  <w:style w:type="character" w:customStyle="1" w:styleId="BoldItalic">
    <w:name w:val="Bold Italic"/>
    <w:basedOn w:val="Bold"/>
    <w:uiPriority w:val="99"/>
    <w:rsid w:val="00F82066"/>
    <w:rPr>
      <w:b/>
      <w:bCs/>
      <w:i/>
      <w:iCs/>
    </w:rPr>
  </w:style>
  <w:style w:type="paragraph" w:customStyle="1" w:styleId="Normal-lessspace">
    <w:name w:val="Normal - less space"/>
    <w:basedOn w:val="Normal"/>
    <w:qFormat/>
    <w:rsid w:val="00F8130F"/>
    <w:pPr>
      <w:spacing w:before="120"/>
    </w:pPr>
    <w:rPr>
      <w:lang w:val="en-GB"/>
    </w:rPr>
  </w:style>
  <w:style w:type="paragraph" w:customStyle="1" w:styleId="Normal-nospace">
    <w:name w:val="Normal - no space"/>
    <w:basedOn w:val="Normal"/>
    <w:qFormat/>
    <w:rsid w:val="00962C2F"/>
    <w:pPr>
      <w:spacing w:before="0"/>
    </w:pPr>
    <w:rPr>
      <w:noProof/>
    </w:rPr>
  </w:style>
  <w:style w:type="paragraph" w:customStyle="1" w:styleId="CDIBannerplacement">
    <w:name w:val="CDI Banner placement"/>
    <w:basedOn w:val="Normal"/>
    <w:qFormat/>
    <w:rsid w:val="00962C2F"/>
    <w:pPr>
      <w:spacing w:before="2640" w:line="240" w:lineRule="auto"/>
    </w:pPr>
  </w:style>
  <w:style w:type="paragraph" w:customStyle="1" w:styleId="CDIFooter-firstpage">
    <w:name w:val="CDI Footer - first page"/>
    <w:basedOn w:val="CDIFooter"/>
    <w:qFormat/>
    <w:rsid w:val="00BA2598"/>
    <w:pPr>
      <w:pBdr>
        <w:top w:val="single" w:sz="6" w:space="4" w:color="00DCA1" w:themeColor="background2"/>
      </w:pBdr>
    </w:pPr>
  </w:style>
  <w:style w:type="paragraph" w:customStyle="1" w:styleId="CDINumberedList1-L1lessspace">
    <w:name w:val="CDI Numbered List (1.) - L1 less space"/>
    <w:basedOn w:val="CDINumberedList1-L1"/>
    <w:qFormat/>
    <w:rsid w:val="00343991"/>
    <w:pPr>
      <w:spacing w:before="120"/>
    </w:pPr>
  </w:style>
  <w:style w:type="paragraph" w:customStyle="1" w:styleId="CDITable-RowBullets">
    <w:name w:val="CDI Table - Row Bullets"/>
    <w:basedOn w:val="CDITable-RowLeft"/>
    <w:qFormat/>
    <w:rsid w:val="00734159"/>
    <w:pPr>
      <w:numPr>
        <w:numId w:val="31"/>
      </w:numPr>
      <w:spacing w:before="0" w:beforeAutospacing="0" w:afterAutospacing="0"/>
      <w:ind w:left="170" w:hanging="170"/>
    </w:pPr>
  </w:style>
  <w:style w:type="paragraph" w:customStyle="1" w:styleId="CDITable-Titlemorespacebefore">
    <w:name w:val="CDI Table - Title more space before"/>
    <w:basedOn w:val="CDITable-Title"/>
    <w:qFormat/>
    <w:rsid w:val="00734159"/>
    <w:pPr>
      <w:spacing w:before="360"/>
    </w:pPr>
  </w:style>
  <w:style w:type="paragraph" w:styleId="Revision">
    <w:name w:val="Revision"/>
    <w:hidden/>
    <w:uiPriority w:val="99"/>
    <w:semiHidden/>
    <w:rsid w:val="006221DD"/>
    <w:pPr>
      <w:spacing w:after="0" w:line="240" w:lineRule="auto"/>
    </w:pPr>
    <w:rPr>
      <w:rFonts w:ascii="Calibri" w:hAnsi="Calibri"/>
      <w14:ligatures w14:val="standardContextual"/>
    </w:rPr>
  </w:style>
  <w:style w:type="paragraph" w:customStyle="1" w:styleId="CDICopyrighttext-lessspace">
    <w:name w:val="CDI Copyright text - less space"/>
    <w:basedOn w:val="CDICopyrighttext"/>
    <w:qFormat/>
    <w:rsid w:val="00C32715"/>
    <w:pPr>
      <w:spacing w:after="60"/>
    </w:pPr>
  </w:style>
  <w:style w:type="paragraph" w:customStyle="1" w:styleId="CDICopyrighttext-nospace">
    <w:name w:val="CDI Copyright text - no space"/>
    <w:basedOn w:val="CDICopyrighttext"/>
    <w:qFormat/>
    <w:rsid w:val="00863F8D"/>
    <w:pPr>
      <w:spacing w:after="0"/>
    </w:pPr>
  </w:style>
  <w:style w:type="paragraph" w:customStyle="1" w:styleId="Heading1-nospacebefore">
    <w:name w:val="Heading 1 - no space before"/>
    <w:basedOn w:val="Heading1"/>
    <w:next w:val="Normal"/>
    <w:link w:val="Heading1-nospacebeforeChar"/>
    <w:qFormat/>
    <w:rsid w:val="00122ADA"/>
    <w:pPr>
      <w:spacing w:before="0"/>
    </w:pPr>
  </w:style>
  <w:style w:type="paragraph" w:customStyle="1" w:styleId="CDIJournal">
    <w:name w:val="CDI Journal"/>
    <w:basedOn w:val="Normal"/>
    <w:qFormat/>
    <w:rsid w:val="006B16A5"/>
    <w:pPr>
      <w:spacing w:before="1920" w:line="240" w:lineRule="auto"/>
      <w:ind w:left="-680"/>
    </w:pPr>
    <w:rPr>
      <w:rFonts w:ascii="Arial" w:hAnsi="Arial"/>
      <w:color w:val="033636" w:themeColor="text2"/>
      <w:sz w:val="42"/>
    </w:rPr>
  </w:style>
  <w:style w:type="paragraph" w:customStyle="1" w:styleId="Heading1-lessspacebefore">
    <w:name w:val="Heading 1 - less space before"/>
    <w:basedOn w:val="Heading1"/>
    <w:link w:val="Heading1-lessspacebeforeChar"/>
    <w:qFormat/>
    <w:rsid w:val="004C62AA"/>
    <w:pPr>
      <w:spacing w:before="240"/>
    </w:pPr>
    <w:rPr>
      <w:lang w:val="en-GB"/>
    </w:rPr>
  </w:style>
  <w:style w:type="character" w:customStyle="1" w:styleId="Heading1-lessspacebeforeChar">
    <w:name w:val="Heading 1 - less space before Char"/>
    <w:basedOn w:val="Heading1Char"/>
    <w:link w:val="Heading1-lessspacebefore"/>
    <w:rsid w:val="004C62AA"/>
    <w:rPr>
      <w:rFonts w:ascii="Arial" w:hAnsi="Arial" w:cs="Manrope ExtraLight"/>
      <w:b/>
      <w:color w:val="033636" w:themeColor="text2"/>
      <w:sz w:val="48"/>
      <w:szCs w:val="32"/>
      <w:lang w:val="en-GB"/>
      <w14:ligatures w14:val="standardContextual"/>
    </w:rPr>
  </w:style>
  <w:style w:type="character" w:customStyle="1" w:styleId="Heading1-nospacebeforeChar">
    <w:name w:val="Heading 1 - no space before Char"/>
    <w:basedOn w:val="Heading1Char"/>
    <w:link w:val="Heading1-nospacebefore"/>
    <w:rsid w:val="00BA2598"/>
    <w:rPr>
      <w:rFonts w:ascii="Arial" w:hAnsi="Arial" w:cs="Manrope ExtraLight"/>
      <w:b/>
      <w:color w:val="033636" w:themeColor="text2"/>
      <w:sz w:val="48"/>
      <w:szCs w:val="32"/>
      <w14:ligatures w14:val="standardContextual"/>
    </w:rPr>
  </w:style>
  <w:style w:type="character" w:customStyle="1" w:styleId="Heading2-nospacebeforeChar">
    <w:name w:val="Heading 2 - no space before Char"/>
    <w:basedOn w:val="Heading2Char"/>
    <w:link w:val="Heading2-nospacebefore"/>
    <w:rsid w:val="00BA2598"/>
    <w:rPr>
      <w:rFonts w:ascii="Arial" w:hAnsi="Arial" w:cs="MyriadPro-Bold"/>
      <w:b/>
      <w:bCs/>
      <w:color w:val="033636" w:themeColor="text2"/>
      <w:sz w:val="38"/>
      <w:szCs w:val="28"/>
      <w:lang w:val="en-GB"/>
      <w14:ligatures w14:val="standardContextual"/>
    </w:rPr>
  </w:style>
  <w:style w:type="paragraph" w:customStyle="1" w:styleId="Heading2-lessspacebefore">
    <w:name w:val="Heading 2 - less space before"/>
    <w:basedOn w:val="Heading2"/>
    <w:next w:val="Normal"/>
    <w:link w:val="Heading2-lessspacebeforeChar"/>
    <w:qFormat/>
    <w:rsid w:val="00BA2598"/>
    <w:pPr>
      <w:spacing w:before="240"/>
    </w:pPr>
  </w:style>
  <w:style w:type="character" w:customStyle="1" w:styleId="Heading2-lessspacebeforeChar">
    <w:name w:val="Heading 2 - less space before Char"/>
    <w:basedOn w:val="Heading2Char"/>
    <w:link w:val="Heading2-lessspacebefore"/>
    <w:rsid w:val="00BA2598"/>
    <w:rPr>
      <w:rFonts w:ascii="Arial" w:hAnsi="Arial" w:cs="MyriadPro-Bold"/>
      <w:b/>
      <w:bCs/>
      <w:color w:val="033636" w:themeColor="text2"/>
      <w:sz w:val="38"/>
      <w:szCs w:val="28"/>
      <w14:ligatures w14:val="standardContextual"/>
    </w:rPr>
  </w:style>
  <w:style w:type="character" w:customStyle="1" w:styleId="Heading3-nospacebeforeChar">
    <w:name w:val="Heading 3 - no space before Char"/>
    <w:basedOn w:val="Heading3Char"/>
    <w:link w:val="Heading3-nospacebefore"/>
    <w:rsid w:val="00BA2598"/>
    <w:rPr>
      <w:rFonts w:ascii="Arial" w:hAnsi="Arial" w:cs="MyriadPro-Regular"/>
      <w:bCs/>
      <w:color w:val="033636" w:themeColor="text2"/>
      <w:sz w:val="32"/>
      <w:szCs w:val="26"/>
      <w:lang w:val="en-GB"/>
      <w14:ligatures w14:val="standardContextual"/>
    </w:rPr>
  </w:style>
  <w:style w:type="paragraph" w:customStyle="1" w:styleId="Heading3-lessspacebefore">
    <w:name w:val="Heading 3 - less space before"/>
    <w:basedOn w:val="Heading3"/>
    <w:next w:val="Normal"/>
    <w:link w:val="Heading3-lessspacebeforeChar"/>
    <w:qFormat/>
    <w:rsid w:val="00BA2598"/>
    <w:pPr>
      <w:spacing w:before="240"/>
    </w:pPr>
  </w:style>
  <w:style w:type="character" w:customStyle="1" w:styleId="Heading3-lessspacebeforeChar">
    <w:name w:val="Heading 3 - less space before Char"/>
    <w:basedOn w:val="Heading3Char"/>
    <w:link w:val="Heading3-lessspacebefore"/>
    <w:rsid w:val="00BA2598"/>
    <w:rPr>
      <w:rFonts w:ascii="Arial" w:hAnsi="Arial" w:cs="MyriadPro-Regular"/>
      <w:bCs/>
      <w:color w:val="033636" w:themeColor="text2"/>
      <w:sz w:val="32"/>
      <w:szCs w:val="26"/>
      <w14:ligatures w14:val="standardContextual"/>
    </w:rPr>
  </w:style>
  <w:style w:type="paragraph" w:customStyle="1" w:styleId="Authordetails">
    <w:name w:val="Author details"/>
    <w:basedOn w:val="Heading4"/>
    <w:next w:val="Normal"/>
    <w:link w:val="AuthordetailsChar"/>
    <w:qFormat/>
    <w:rsid w:val="00BA2598"/>
    <w:pPr>
      <w:outlineLvl w:val="1"/>
    </w:pPr>
    <w:rPr>
      <w:color w:val="033636" w:themeColor="text2"/>
    </w:rPr>
  </w:style>
  <w:style w:type="character" w:customStyle="1" w:styleId="AuthordetailsChar">
    <w:name w:val="Author details Char"/>
    <w:basedOn w:val="Heading4Char"/>
    <w:link w:val="Authordetails"/>
    <w:rsid w:val="00BA2598"/>
    <w:rPr>
      <w:rFonts w:ascii="Arial" w:eastAsiaTheme="majorEastAsia" w:hAnsi="Arial" w:cstheme="majorBidi"/>
      <w:bCs/>
      <w:iCs/>
      <w:color w:val="033636" w:themeColor="text2"/>
      <w:sz w:val="28"/>
      <w:lang w:val="en-GB"/>
      <w14:ligatures w14:val="standardContextual"/>
    </w:rPr>
  </w:style>
  <w:style w:type="character" w:customStyle="1" w:styleId="CDIFooterChar">
    <w:name w:val="CDI Footer Char"/>
    <w:basedOn w:val="DefaultParagraphFont"/>
    <w:link w:val="CDIFooter"/>
    <w:rsid w:val="00AC7CD7"/>
    <w:rPr>
      <w:rFonts w:ascii="Calibri" w:hAnsi="Calibri"/>
      <w:sz w:val="18"/>
      <w:szCs w:val="18"/>
      <w14:ligatures w14:val="standardContextual"/>
    </w:rPr>
  </w:style>
  <w:style w:type="paragraph" w:customStyle="1" w:styleId="CDITable-Titlenospacebefore">
    <w:name w:val="CDI Table - Title no space before"/>
    <w:basedOn w:val="CDITable-Title"/>
    <w:qFormat/>
    <w:rsid w:val="00D26EE6"/>
    <w:pPr>
      <w:spacing w:before="0"/>
    </w:pPr>
  </w:style>
  <w:style w:type="paragraph" w:customStyle="1" w:styleId="CDIFigure-Table-H1Left">
    <w:name w:val="CDI_Figure-Table - H1 Left"/>
    <w:basedOn w:val="Normal"/>
    <w:qFormat/>
    <w:rsid w:val="00F81F48"/>
    <w:pPr>
      <w:keepNext/>
      <w:suppressAutoHyphens/>
      <w:autoSpaceDE w:val="0"/>
      <w:autoSpaceDN w:val="0"/>
      <w:adjustRightInd w:val="0"/>
      <w:spacing w:beforeAutospacing="1" w:after="120" w:afterAutospacing="1" w:line="240" w:lineRule="auto"/>
      <w:textAlignment w:val="center"/>
    </w:pPr>
    <w:rPr>
      <w:rFonts w:cs="Minion3-Bold"/>
      <w:b/>
      <w:bCs/>
      <w:color w:val="FFFFFF" w:themeColor="background1"/>
      <w:sz w:val="18"/>
      <w:szCs w:val="23"/>
      <w:lang w:val="en-GB"/>
    </w:rPr>
  </w:style>
  <w:style w:type="paragraph" w:customStyle="1" w:styleId="CDIFigure-Table-BodyTextLeft">
    <w:name w:val="CDI_Figure-Table - Body Text Left"/>
    <w:basedOn w:val="Normal"/>
    <w:qFormat/>
    <w:rsid w:val="00F81F48"/>
    <w:pPr>
      <w:spacing w:before="100" w:beforeAutospacing="1" w:after="100" w:afterAutospacing="1" w:line="240" w:lineRule="auto"/>
    </w:pPr>
    <w:rPr>
      <w:sz w:val="18"/>
    </w:rPr>
  </w:style>
  <w:style w:type="paragraph" w:customStyle="1" w:styleId="CDIFigure-Table-TotalLeft">
    <w:name w:val="CDI_Figure-Table - Total Left"/>
    <w:basedOn w:val="Normal"/>
    <w:qFormat/>
    <w:rsid w:val="00F81F48"/>
    <w:pPr>
      <w:spacing w:before="100" w:beforeAutospacing="1" w:after="100" w:afterAutospacing="1" w:line="240" w:lineRule="auto"/>
    </w:pPr>
    <w:rPr>
      <w:b/>
      <w:sz w:val="18"/>
      <w:lang w:val="en-GB"/>
    </w:rPr>
  </w:style>
  <w:style w:type="paragraph" w:customStyle="1" w:styleId="CDIFigure-Table-TotalCentre">
    <w:name w:val="CDI_Figure-Table - Total Centre"/>
    <w:basedOn w:val="CDIFigure-Table-TotalLeft"/>
    <w:qFormat/>
    <w:rsid w:val="00F81F48"/>
    <w:pPr>
      <w:jc w:val="center"/>
    </w:pPr>
  </w:style>
  <w:style w:type="paragraph" w:customStyle="1" w:styleId="CDIFigure-Table-BodyTextCentre">
    <w:name w:val="CDI_Figure-Table - Body Text Centre"/>
    <w:basedOn w:val="CDIFigure-Table-BodyTextLeft"/>
    <w:qFormat/>
    <w:rsid w:val="00F81F48"/>
    <w:pPr>
      <w:jc w:val="center"/>
    </w:pPr>
    <w:rPr>
      <w:lang w:val="en-GB"/>
    </w:rPr>
  </w:style>
  <w:style w:type="paragraph" w:customStyle="1" w:styleId="CDIFigure-Table-H1">
    <w:name w:val="CDI_Figure-Table - H1"/>
    <w:basedOn w:val="Normal"/>
    <w:qFormat/>
    <w:rsid w:val="00F81F48"/>
    <w:pPr>
      <w:spacing w:before="100" w:beforeAutospacing="1" w:after="100" w:afterAutospacing="1" w:line="240" w:lineRule="auto"/>
      <w:jc w:val="center"/>
    </w:pPr>
    <w:rPr>
      <w:b/>
      <w:color w:val="FFFFFF" w:themeColor="background1"/>
      <w:sz w:val="18"/>
      <w:lang w:val="en-GB"/>
    </w:rPr>
  </w:style>
  <w:style w:type="paragraph" w:customStyle="1" w:styleId="CDIFooter0">
    <w:name w:val="CDI_Footer"/>
    <w:basedOn w:val="Normal"/>
    <w:qFormat/>
    <w:rsid w:val="00F81F48"/>
    <w:pPr>
      <w:spacing w:before="0"/>
    </w:pPr>
    <w:rPr>
      <w:sz w:val="18"/>
      <w:szCs w:val="18"/>
    </w:rPr>
  </w:style>
  <w:style w:type="character" w:customStyle="1" w:styleId="CDICopyrightTextBullet0">
    <w:name w:val="CDI_Copyright_Text_Bullet"/>
    <w:basedOn w:val="DefaultParagraphFont"/>
    <w:uiPriority w:val="1"/>
    <w:qFormat/>
    <w:rsid w:val="00F81F48"/>
    <w:rPr>
      <w:rFonts w:cs="Arial"/>
      <w:color w:val="033636" w:themeColor="text2"/>
    </w:rPr>
  </w:style>
  <w:style w:type="paragraph" w:customStyle="1" w:styleId="CDIHeaderplacement">
    <w:name w:val="CDI_Header placement"/>
    <w:basedOn w:val="Normal"/>
    <w:qFormat/>
    <w:rsid w:val="00F81F48"/>
    <w:pPr>
      <w:spacing w:before="2640" w:line="240" w:lineRule="auto"/>
    </w:pPr>
  </w:style>
  <w:style w:type="paragraph" w:customStyle="1" w:styleId="CDIFirstFooter">
    <w:name w:val="CDI_First Footer"/>
    <w:basedOn w:val="CDIFooter0"/>
    <w:qFormat/>
    <w:rsid w:val="00F81F48"/>
    <w:pPr>
      <w:pBdr>
        <w:top w:val="single" w:sz="4" w:space="4" w:color="00DCA1" w:themeColor="background2"/>
      </w:pBdr>
    </w:pPr>
  </w:style>
  <w:style w:type="paragraph" w:customStyle="1" w:styleId="CDINumberedList1L1">
    <w:name w:val="CDI_Numbered List (1.) L1"/>
    <w:basedOn w:val="Normal"/>
    <w:uiPriority w:val="99"/>
    <w:rsid w:val="00462748"/>
    <w:pPr>
      <w:keepLines/>
      <w:autoSpaceDE w:val="0"/>
      <w:autoSpaceDN w:val="0"/>
      <w:adjustRightInd w:val="0"/>
      <w:ind w:left="397" w:hanging="397"/>
      <w:textAlignment w:val="center"/>
    </w:pPr>
    <w:rPr>
      <w:rFonts w:cs="Minion3-Regular"/>
      <w:szCs w:val="23"/>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342280">
      <w:bodyDiv w:val="1"/>
      <w:marLeft w:val="0"/>
      <w:marRight w:val="0"/>
      <w:marTop w:val="0"/>
      <w:marBottom w:val="0"/>
      <w:divBdr>
        <w:top w:val="none" w:sz="0" w:space="0" w:color="auto"/>
        <w:left w:val="none" w:sz="0" w:space="0" w:color="auto"/>
        <w:bottom w:val="none" w:sz="0" w:space="0" w:color="auto"/>
        <w:right w:val="none" w:sz="0" w:space="0" w:color="auto"/>
      </w:divBdr>
    </w:div>
    <w:div w:id="387656109">
      <w:bodyDiv w:val="1"/>
      <w:marLeft w:val="0"/>
      <w:marRight w:val="0"/>
      <w:marTop w:val="0"/>
      <w:marBottom w:val="0"/>
      <w:divBdr>
        <w:top w:val="none" w:sz="0" w:space="0" w:color="auto"/>
        <w:left w:val="none" w:sz="0" w:space="0" w:color="auto"/>
        <w:bottom w:val="none" w:sz="0" w:space="0" w:color="auto"/>
        <w:right w:val="none" w:sz="0" w:space="0" w:color="auto"/>
      </w:divBdr>
    </w:div>
    <w:div w:id="574974463">
      <w:bodyDiv w:val="1"/>
      <w:marLeft w:val="0"/>
      <w:marRight w:val="0"/>
      <w:marTop w:val="0"/>
      <w:marBottom w:val="0"/>
      <w:divBdr>
        <w:top w:val="none" w:sz="0" w:space="0" w:color="auto"/>
        <w:left w:val="none" w:sz="0" w:space="0" w:color="auto"/>
        <w:bottom w:val="none" w:sz="0" w:space="0" w:color="auto"/>
        <w:right w:val="none" w:sz="0" w:space="0" w:color="auto"/>
      </w:divBdr>
    </w:div>
    <w:div w:id="93552665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mailto:cdi.editor@health.gov.au" TargetMode="Externa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yperlink" Target="https://www1.health.gov.au/internet/main/publishing.nsf/Content/cda-pubs-cdi-auth_inst.htm" TargetMode="Externa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www1.health.gov.au/internet/main/publishing.nsf/Content/cda-pubs-cdi-auth_inst.htm"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health.gov.au/cdna" TargetMode="External"/><Relationship Id="rId28" Type="http://schemas.openxmlformats.org/officeDocument/2006/relationships/hyperlink" Target="mailto:cdi.editor@health.gov.au" TargetMode="Externa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hyperlink" Target="http://www.health.gov.au/cdi" TargetMode="Externa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lisa\OneDrive%20-%20Department%20of%20Health\Documents\Custom%20Office%20Templates\CDI-template-jan-2025.dotx" TargetMode="External"/></Relationships>
</file>

<file path=word/theme/theme1.xml><?xml version="1.0" encoding="utf-8"?>
<a:theme xmlns:a="http://schemas.openxmlformats.org/drawingml/2006/main" name="Office Theme">
  <a:themeElements>
    <a:clrScheme name="ACDC minus Blue, Purple, Stone">
      <a:dk1>
        <a:srgbClr val="000000"/>
      </a:dk1>
      <a:lt1>
        <a:srgbClr val="FFFFFF"/>
      </a:lt1>
      <a:dk2>
        <a:srgbClr val="033636"/>
      </a:dk2>
      <a:lt2>
        <a:srgbClr val="00DCA1"/>
      </a:lt2>
      <a:accent1>
        <a:srgbClr val="083E9C"/>
      </a:accent1>
      <a:accent2>
        <a:srgbClr val="511D81"/>
      </a:accent2>
      <a:accent3>
        <a:srgbClr val="A10000"/>
      </a:accent3>
      <a:accent4>
        <a:srgbClr val="C55500"/>
      </a:accent4>
      <a:accent5>
        <a:srgbClr val="FF6E73"/>
      </a:accent5>
      <a:accent6>
        <a:srgbClr val="FFD031"/>
      </a:accent6>
      <a:hlink>
        <a:srgbClr val="184174"/>
      </a:hlink>
      <a:folHlink>
        <a:srgbClr val="6D6D7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2019-03-15T00:00:00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E3CEDF-0107-42E3-93CC-370A8D395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CDI-template-jan-2025.dotx</Template>
  <TotalTime>5</TotalTime>
  <Pages>19</Pages>
  <Words>6597</Words>
  <Characters>40800</Characters>
  <Application>Microsoft Office Word</Application>
  <DocSecurity>0</DocSecurity>
  <Lines>340</Lines>
  <Paragraphs>94</Paragraphs>
  <ScaleCrop>false</ScaleCrop>
  <HeadingPairs>
    <vt:vector size="2" baseType="variant">
      <vt:variant>
        <vt:lpstr>Title</vt:lpstr>
      </vt:variant>
      <vt:variant>
        <vt:i4>1</vt:i4>
      </vt:variant>
    </vt:vector>
  </HeadingPairs>
  <TitlesOfParts>
    <vt:vector size="1" baseType="lpstr">
      <vt:lpstr>Communicable Diseases Intelligence - The detection of Japanese Encephalitis Virus (JEV) in Murray Region: a public health investigation</vt:lpstr>
    </vt:vector>
  </TitlesOfParts>
  <Company/>
  <LinksUpToDate>false</LinksUpToDate>
  <CharactersWithSpaces>47303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Communicable Diseases Intelligence - The detection of Japanese Encephalitis Virus (JEV) in Murray Region: a public health investigation</dc:title>
  <dc:subject>The detection of Japanese Encephalitis Virus (JEV) in pigs in the Murray Region in February 2022 prompted an urgent public health response by NSW Health for people at greatest risk of infection.  As this was the earliest detection of JEV in south-eastern Australia, vaccination was offered to people exposed to the same environment as JEV positive pigs, along with serology collection to assist with the investigation into JEV prevalence in a presumably naïve population. A standardised questionnaire was developed and conducted to collect demographic and exposure information to aid in serology interpretation. The reasons for the emergence of JEV in pigs in the Murray region are unclear, however the findings indicate that transmission to humans is likely.</dc:subject>
  <dc:creator>Gamuchirai M Shava; Katherine Todd; Tracey Oakman; Saifur Rahman; Linda Hueston; Keira Glasgow; April Roberts-Witteveen</dc:creator>
  <cp:keywords>emerging diseases; infectious diseases; Japanese encephalitis; flaviviruses; mosquito; cross-sectional study; vaccines; sero-survey; rapid investigation</cp:keywords>
  <dc:description>© 2025 Commonwealth of Australia as represented by the Department of Health and Aged Care. This publication is licenced under a CC BY-NC-ND licence.</dc:description>
  <cp:revision>2</cp:revision>
  <cp:lastPrinted>2024-03-07T01:06:00Z</cp:lastPrinted>
  <dcterms:created xsi:type="dcterms:W3CDTF">2024-12-17T02:53:00Z</dcterms:created>
  <dcterms:modified xsi:type="dcterms:W3CDTF">2024-12-17T02:53:00Z</dcterms:modified>
  <cp:category>Original article</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lpwstr>2025</vt:lpwstr>
  </property>
  <property fmtid="{D5CDD505-2E9C-101B-9397-08002B2CF9AE}" pid="3" name="Vol">
    <vt:i4>49</vt:i4>
  </property>
  <property fmtid="{D5CDD505-2E9C-101B-9397-08002B2CF9AE}" pid="4" name="ePubDate">
    <vt:lpwstr>22/01/2025</vt:lpwstr>
  </property>
  <property fmtid="{D5CDD505-2E9C-101B-9397-08002B2CF9AE}" pid="5" name="DOI">
    <vt:lpwstr>https://doi.org/10.33321/cdi.2025.49.004</vt:lpwstr>
  </property>
</Properties>
</file>