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0EC" w:rsidRDefault="009F20EC" w:rsidP="009F20EC">
      <w:pPr>
        <w:pStyle w:val="Title"/>
        <w:rPr>
          <w:rFonts w:eastAsia="Times New Roman"/>
        </w:rPr>
      </w:pPr>
      <w:r>
        <w:rPr>
          <w:rFonts w:eastAsia="Times New Roman"/>
        </w:rPr>
        <w:t>Invasive Pneumococcal Disease Surveillance, 1 October to 31 December 2017</w:t>
      </w:r>
      <w:r>
        <w:rPr>
          <w:rStyle w:val="FootnoteReference"/>
          <w:rFonts w:eastAsia="Times New Roman"/>
        </w:rPr>
        <w:footnoteReference w:id="2"/>
      </w:r>
      <w:r>
        <w:rPr>
          <w:rFonts w:eastAsia="Times New Roman"/>
        </w:rPr>
        <w:t xml:space="preserve"> </w:t>
      </w:r>
    </w:p>
    <w:p w:rsidR="009F20EC" w:rsidRDefault="009F20EC" w:rsidP="002E4601">
      <w:pPr>
        <w:pStyle w:val="NoSpacing"/>
      </w:pPr>
      <w:r>
        <w:t>Kate Pennington and the Enhanced Invasive Pneumococcal Disease Surveillance Working Group, for the Communicable Diseases Network Australia</w:t>
      </w:r>
    </w:p>
    <w:p w:rsidR="009F20EC" w:rsidRDefault="009F20EC">
      <w:pPr>
        <w:pStyle w:val="Heading1"/>
        <w:rPr>
          <w:rFonts w:eastAsia="Times New Roman"/>
        </w:rPr>
      </w:pPr>
      <w:r>
        <w:rPr>
          <w:rFonts w:eastAsia="Times New Roman"/>
        </w:rPr>
        <w:t xml:space="preserve">Summary </w:t>
      </w:r>
    </w:p>
    <w:p w:rsidR="009F20EC" w:rsidRDefault="009F20EC" w:rsidP="00A01436">
      <w:r w:rsidRPr="002E4601">
        <w:rPr>
          <w:rStyle w:val="NoSpacingChar"/>
        </w:rPr>
        <w:t>The number of notified cases of invasive pneumococcal disease (IPD) in the fourth quarter of 2017 was substantially less than the previous quarter, but slightly greater than the fourth quarter of 2016. Following the July 2011 replacement of the 7-valent pneumococcal conjugate vaccine (7vPCV) in the childhood immunisation program with the 13-valent pneumococcal conjugate vaccine (13vPCV), there was an initial relatively rapid decline in disease due to the additional 6 serotypes covered by the 13vPCV across all age groups, however in 2017 this decline is no longer evident. Additionally, over this period the number of cases due to the eleven serotypes additionally covered by the 23-valent pneumococcal polysaccharide vaccine (23vPPV) and also those serotypes not covered by any available vaccine has been increasing steadily across all age groups (Figure 1</w:t>
      </w:r>
      <w:r>
        <w:t xml:space="preserve">). </w:t>
      </w:r>
    </w:p>
    <w:p w:rsidR="00A5280E" w:rsidRDefault="009F20EC" w:rsidP="002E4601">
      <w:pPr>
        <w:pStyle w:val="NoSpacing"/>
        <w:sectPr w:rsidR="00A5280E" w:rsidSect="00656427">
          <w:headerReference w:type="default" r:id="rId9"/>
          <w:footerReference w:type="default" r:id="rId10"/>
          <w:footerReference w:type="first" r:id="rId11"/>
          <w:footnotePr>
            <w:numFmt w:val="chicago"/>
          </w:footnotePr>
          <w:pgSz w:w="11906" w:h="16838"/>
          <w:pgMar w:top="720" w:right="720" w:bottom="1134" w:left="720" w:header="709" w:footer="284" w:gutter="0"/>
          <w:pgNumType w:start="1"/>
          <w:cols w:space="708"/>
          <w:titlePg/>
          <w:docGrid w:linePitch="360"/>
        </w:sectPr>
      </w:pPr>
      <w:r>
        <w:t>Keywords: Invasive pneumococcal disease</w:t>
      </w:r>
      <w:r w:rsidR="00BD4D54">
        <w:t xml:space="preserve">; Australia; Epidemiology; IPD </w:t>
      </w:r>
    </w:p>
    <w:p w:rsidR="00CD0CCE" w:rsidRPr="00BD4D54" w:rsidRDefault="00CD0CCE" w:rsidP="002E4601">
      <w:pPr>
        <w:pStyle w:val="NoSpacing"/>
      </w:pPr>
    </w:p>
    <w:p w:rsidR="009F20EC" w:rsidRDefault="009F20EC" w:rsidP="002E4601">
      <w:pPr>
        <w:pStyle w:val="CDIFigures"/>
        <w:spacing w:line="240" w:lineRule="auto"/>
      </w:pPr>
      <w:r>
        <w:t>Figure 1: Notifications of invasive pneumococcal disease, Australia, 1 January 2002 to 31 December 2017, by vaccine serotype group, year and quarter</w:t>
      </w:r>
    </w:p>
    <w:p w:rsidR="009F20EC" w:rsidRDefault="009F20EC" w:rsidP="003D020C">
      <w:pPr>
        <w:pStyle w:val="NormalWeb"/>
      </w:pPr>
      <w:r>
        <w:rPr>
          <w:noProof/>
        </w:rPr>
        <w:drawing>
          <wp:inline distT="0" distB="0" distL="0" distR="0" wp14:anchorId="48615202" wp14:editId="5893F85B">
            <wp:extent cx="8629494" cy="5571157"/>
            <wp:effectExtent l="0" t="0" r="635" b="0"/>
            <wp:docPr id="1" name="Picture 1" descr="Figure 1 - This figure shows all notified cases of IPD in Australia between 2002 and 2017 by year and also 2007 and 2017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title="Figure 1: Notifications of invasive pneumococcal disease, Australia, 1 January 2002 to 31 December 2017, by vaccine serotype group, year an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2 and 2017 by year and also 2007 and 2017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629494" cy="5571157"/>
                    </a:xfrm>
                    <a:prstGeom prst="rect">
                      <a:avLst/>
                    </a:prstGeom>
                    <a:noFill/>
                    <a:ln>
                      <a:noFill/>
                    </a:ln>
                    <a:extLst>
                      <a:ext uri="{53640926-AAD7-44D8-BBD7-CCE9431645EC}">
                        <a14:shadowObscured xmlns:a14="http://schemas.microsoft.com/office/drawing/2010/main"/>
                      </a:ext>
                    </a:extLst>
                  </pic:spPr>
                </pic:pic>
              </a:graphicData>
            </a:graphic>
          </wp:inline>
        </w:drawing>
      </w:r>
    </w:p>
    <w:p w:rsidR="00A5280E" w:rsidRDefault="00A5280E">
      <w:pPr>
        <w:pStyle w:val="Heading1"/>
        <w:rPr>
          <w:rFonts w:eastAsia="Times New Roman"/>
        </w:rPr>
        <w:sectPr w:rsidR="00A5280E" w:rsidSect="00113DD6">
          <w:footnotePr>
            <w:numFmt w:val="chicago"/>
          </w:footnotePr>
          <w:pgSz w:w="16838" w:h="11906" w:orient="landscape"/>
          <w:pgMar w:top="720" w:right="720" w:bottom="720" w:left="1134" w:header="709" w:footer="284" w:gutter="0"/>
          <w:cols w:space="708"/>
          <w:titlePg/>
          <w:docGrid w:linePitch="360"/>
        </w:sectPr>
      </w:pPr>
    </w:p>
    <w:p w:rsidR="009F20EC" w:rsidRDefault="009F20EC">
      <w:pPr>
        <w:pStyle w:val="Heading1"/>
        <w:rPr>
          <w:rFonts w:eastAsia="Times New Roman"/>
        </w:rPr>
      </w:pPr>
      <w:r>
        <w:rPr>
          <w:rFonts w:eastAsia="Times New Roman"/>
        </w:rPr>
        <w:t xml:space="preserve">Key points </w:t>
      </w:r>
    </w:p>
    <w:p w:rsidR="009F20EC" w:rsidRDefault="009F20EC" w:rsidP="00CD0CCE">
      <w:r>
        <w:t>For the 2017 calendar year, there were 2,044 notified cases</w:t>
      </w:r>
      <w:r w:rsidR="004441B0">
        <w:t xml:space="preserve"> of IPD</w:t>
      </w:r>
      <w:r>
        <w:t xml:space="preserve">, which was 22% higher when compared with 2016 (n=1,666). The higher levels of IPD observed over the 2017 calendar year, particularly in quarters 2 and 3, may potentially have been influenced by the increased seasonal influenza activity levels that have also been observed over this period. </w:t>
      </w:r>
    </w:p>
    <w:p w:rsidR="00491CB6" w:rsidRDefault="009F20EC" w:rsidP="00491CB6">
      <w:r>
        <w:t xml:space="preserve">In the fourth quarter of 2017, there were 415 cases of IPD reported to the National Notifiable Disease Surveillance System (NNDSS). Compared with the number of cases notified in the previous quarter (n=873), this represented a substantial decrease in cases (52%), and compared to the same quarter in 2016 (n=397) there was a 5% increase in the number of cases (Table 1). In the fourth quarter of 2017, the most common pneumococcal serotypes causing IPD were 3 (8.9%), 22F (7.7%) and 9N (5.1%) (Table 2). </w:t>
      </w:r>
    </w:p>
    <w:p w:rsidR="009F20EC" w:rsidRDefault="009F20EC" w:rsidP="00491CB6">
      <w:pPr>
        <w:pStyle w:val="CDIFigures"/>
        <w:rPr>
          <w:rFonts w:eastAsia="Times New Roman"/>
        </w:rPr>
      </w:pPr>
      <w:r>
        <w:rPr>
          <w:rFonts w:eastAsia="Times New Roman"/>
        </w:rPr>
        <w:t xml:space="preserve">Table 1: Notified cases of invasive pneumococcal disease, Australia, 1 October to 31 December 2017, by Indigenous status, serotype completeness and state or territory </w:t>
      </w:r>
    </w:p>
    <w:tbl>
      <w:tblPr>
        <w:tblStyle w:val="CDI-StandardTable"/>
        <w:tblW w:w="0" w:type="auto"/>
        <w:tblLook w:val="04A0" w:firstRow="1" w:lastRow="0" w:firstColumn="1" w:lastColumn="0" w:noHBand="0" w:noVBand="1"/>
        <w:tblCaption w:val="Table 1: Notified cases of invasive pneumococcal disease, Australia, 1 October to 31 December 2017, by Indigenous status, serotype completeness and state or territory "/>
        <w:tblDescription w:val="Table 1-This table shows the numbers of IPD cases which have occurred during the fourth quarter of 2017 for each state and territory by Indigenous status and serotype completeness compared to historically relevant periods. The number of cases in this quarter was less than the previous quarter and slightly more when compared to the equivalent quarter in 2016. Data on Indigenous status was complete for 85% of cases in all states and territories, with slightly higher levels of completeness in those age groups targeted for follow-up by all jurisdictions. Serotype completeness overall this quarter continued to be high at 86%."/>
      </w:tblPr>
      <w:tblGrid>
        <w:gridCol w:w="2337"/>
        <w:gridCol w:w="599"/>
        <w:gridCol w:w="689"/>
        <w:gridCol w:w="494"/>
        <w:gridCol w:w="564"/>
        <w:gridCol w:w="478"/>
        <w:gridCol w:w="546"/>
        <w:gridCol w:w="517"/>
        <w:gridCol w:w="573"/>
        <w:gridCol w:w="922"/>
        <w:gridCol w:w="923"/>
        <w:gridCol w:w="922"/>
        <w:gridCol w:w="902"/>
      </w:tblGrid>
      <w:tr w:rsidR="00CD0CCE" w:rsidRPr="00CD0CCE" w:rsidTr="00870DC3">
        <w:trPr>
          <w:cnfStyle w:val="100000000000" w:firstRow="1" w:lastRow="0" w:firstColumn="0" w:lastColumn="0" w:oddVBand="0" w:evenVBand="0" w:oddHBand="0" w:evenHBand="0" w:firstRowFirstColumn="0" w:firstRowLastColumn="0" w:lastRowFirstColumn="0" w:lastRowLastColumn="0"/>
          <w:tblHeader/>
        </w:trPr>
        <w:tc>
          <w:tcPr>
            <w:tcW w:w="2337" w:type="dxa"/>
            <w:hideMark/>
          </w:tcPr>
          <w:p w:rsidR="009F20EC" w:rsidRPr="00CD0CCE" w:rsidRDefault="009F20EC">
            <w:pPr>
              <w:rPr>
                <w:rFonts w:eastAsia="Times New Roman"/>
                <w:color w:val="FFFFFF" w:themeColor="background1"/>
                <w:sz w:val="24"/>
                <w:szCs w:val="24"/>
              </w:rPr>
            </w:pPr>
            <w:r w:rsidRPr="00CD0CCE">
              <w:rPr>
                <w:rFonts w:eastAsia="Times New Roman"/>
                <w:color w:val="FFFFFF" w:themeColor="background1"/>
              </w:rPr>
              <w:t>Indigenous status</w:t>
            </w:r>
          </w:p>
        </w:tc>
        <w:tc>
          <w:tcPr>
            <w:tcW w:w="599" w:type="dxa"/>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ACT</w:t>
            </w:r>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NSW</w:t>
            </w:r>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NT</w:t>
            </w:r>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Qld</w:t>
            </w:r>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SA</w:t>
            </w:r>
          </w:p>
        </w:tc>
        <w:tc>
          <w:tcPr>
            <w:tcW w:w="0" w:type="auto"/>
            <w:hideMark/>
          </w:tcPr>
          <w:p w:rsidR="009F20EC" w:rsidRPr="00CD0CCE" w:rsidRDefault="009F20EC" w:rsidP="00870DC3">
            <w:pPr>
              <w:jc w:val="center"/>
              <w:rPr>
                <w:rFonts w:eastAsia="Times New Roman"/>
                <w:color w:val="FFFFFF" w:themeColor="background1"/>
                <w:sz w:val="24"/>
                <w:szCs w:val="24"/>
              </w:rPr>
            </w:pPr>
            <w:proofErr w:type="spellStart"/>
            <w:r w:rsidRPr="00CD0CCE">
              <w:rPr>
                <w:rFonts w:eastAsia="Times New Roman"/>
                <w:color w:val="FFFFFF" w:themeColor="background1"/>
              </w:rPr>
              <w:t>Tas</w:t>
            </w:r>
            <w:proofErr w:type="spellEnd"/>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Vic</w:t>
            </w:r>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WA</w:t>
            </w:r>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 xml:space="preserve">Total 4th </w:t>
            </w:r>
            <w:proofErr w:type="spellStart"/>
            <w:r w:rsidRPr="00CD0CCE">
              <w:rPr>
                <w:rFonts w:eastAsia="Times New Roman"/>
                <w:color w:val="FFFFFF" w:themeColor="background1"/>
              </w:rPr>
              <w:t>qtr</w:t>
            </w:r>
            <w:proofErr w:type="spellEnd"/>
            <w:r w:rsidRPr="00CD0CCE">
              <w:rPr>
                <w:rFonts w:eastAsia="Times New Roman"/>
                <w:color w:val="FFFFFF" w:themeColor="background1"/>
              </w:rPr>
              <w:t xml:space="preserve"> 2017</w:t>
            </w:r>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 xml:space="preserve">Total 3rd </w:t>
            </w:r>
            <w:proofErr w:type="spellStart"/>
            <w:r w:rsidRPr="00CD0CCE">
              <w:rPr>
                <w:rFonts w:eastAsia="Times New Roman"/>
                <w:color w:val="FFFFFF" w:themeColor="background1"/>
              </w:rPr>
              <w:t>qtr</w:t>
            </w:r>
            <w:proofErr w:type="spellEnd"/>
            <w:r w:rsidRPr="00CD0CCE">
              <w:rPr>
                <w:rFonts w:eastAsia="Times New Roman"/>
                <w:color w:val="FFFFFF" w:themeColor="background1"/>
              </w:rPr>
              <w:t xml:space="preserve"> 2017</w:t>
            </w:r>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 xml:space="preserve">Total 4th </w:t>
            </w:r>
            <w:proofErr w:type="spellStart"/>
            <w:r w:rsidRPr="00CD0CCE">
              <w:rPr>
                <w:rFonts w:eastAsia="Times New Roman"/>
                <w:color w:val="FFFFFF" w:themeColor="background1"/>
              </w:rPr>
              <w:t>qtr</w:t>
            </w:r>
            <w:proofErr w:type="spellEnd"/>
            <w:r w:rsidRPr="00CD0CCE">
              <w:rPr>
                <w:rFonts w:eastAsia="Times New Roman"/>
                <w:color w:val="FFFFFF" w:themeColor="background1"/>
              </w:rPr>
              <w:t xml:space="preserve"> 2016</w:t>
            </w:r>
          </w:p>
        </w:tc>
        <w:tc>
          <w:tcPr>
            <w:tcW w:w="0" w:type="auto"/>
            <w:hideMark/>
          </w:tcPr>
          <w:p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Year to date 2017</w:t>
            </w:r>
          </w:p>
        </w:tc>
      </w:tr>
      <w:tr w:rsidR="009F20EC" w:rsidTr="00E50947">
        <w:tblPrEx>
          <w:tblCellMar>
            <w:top w:w="0" w:type="dxa"/>
            <w:left w:w="108" w:type="dxa"/>
            <w:bottom w:w="0" w:type="dxa"/>
            <w:right w:w="108" w:type="dxa"/>
          </w:tblCellMar>
        </w:tblPrEx>
        <w:tc>
          <w:tcPr>
            <w:tcW w:w="2337"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Indigenous</w:t>
            </w:r>
          </w:p>
        </w:tc>
        <w:tc>
          <w:tcPr>
            <w:tcW w:w="599" w:type="dxa"/>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5</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14</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16</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14</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59</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97</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45</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228</w:t>
            </w:r>
          </w:p>
        </w:tc>
      </w:tr>
      <w:tr w:rsidR="009F20EC" w:rsidTr="00E5094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337"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Non-Indigenous</w:t>
            </w:r>
          </w:p>
        </w:tc>
        <w:tc>
          <w:tcPr>
            <w:tcW w:w="599" w:type="dxa"/>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97</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43</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33</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11</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83</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18</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294</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670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310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w:t>
            </w:r>
            <w:r w:rsidR="004441B0">
              <w:rPr>
                <w:rFonts w:eastAsia="Times New Roman"/>
              </w:rPr>
              <w:t>,</w:t>
            </w:r>
            <w:r>
              <w:rPr>
                <w:rFonts w:eastAsia="Times New Roman"/>
              </w:rPr>
              <w:t>577</w:t>
            </w:r>
          </w:p>
        </w:tc>
      </w:tr>
      <w:tr w:rsidR="009F20EC" w:rsidTr="007D59BD">
        <w:tblPrEx>
          <w:tblCellMar>
            <w:top w:w="0" w:type="dxa"/>
            <w:left w:w="108" w:type="dxa"/>
            <w:bottom w:w="0" w:type="dxa"/>
            <w:right w:w="108" w:type="dxa"/>
          </w:tblCellMar>
        </w:tblPrEx>
        <w:tc>
          <w:tcPr>
            <w:tcW w:w="2337" w:type="dxa"/>
            <w:tcBorders>
              <w:bottom w:val="single" w:sz="2" w:space="0" w:color="auto"/>
            </w:tcBorders>
            <w:tcMar>
              <w:top w:w="57" w:type="dxa"/>
              <w:left w:w="57" w:type="dxa"/>
              <w:bottom w:w="57" w:type="dxa"/>
              <w:right w:w="57" w:type="dxa"/>
            </w:tcMar>
            <w:hideMark/>
          </w:tcPr>
          <w:p w:rsidR="009F20EC" w:rsidRDefault="009F20EC">
            <w:pPr>
              <w:rPr>
                <w:rFonts w:eastAsia="Times New Roman"/>
                <w:sz w:val="24"/>
                <w:szCs w:val="24"/>
              </w:rPr>
            </w:pPr>
            <w:r>
              <w:rPr>
                <w:rFonts w:eastAsia="Times New Roman"/>
              </w:rPr>
              <w:t>Not stated / Unknown</w:t>
            </w:r>
          </w:p>
        </w:tc>
        <w:tc>
          <w:tcPr>
            <w:tcW w:w="599" w:type="dxa"/>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38</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23</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62</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106</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42</w:t>
            </w:r>
          </w:p>
        </w:tc>
        <w:tc>
          <w:tcPr>
            <w:tcW w:w="0" w:type="auto"/>
            <w:tcBorders>
              <w:bottom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239</w:t>
            </w:r>
          </w:p>
        </w:tc>
      </w:tr>
      <w:tr w:rsidR="009F20EC" w:rsidTr="007D59BD">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337"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pPr>
              <w:rPr>
                <w:rFonts w:eastAsia="Times New Roman"/>
                <w:sz w:val="24"/>
                <w:szCs w:val="24"/>
              </w:rPr>
            </w:pPr>
            <w:r>
              <w:rPr>
                <w:rFonts w:eastAsia="Times New Roman"/>
              </w:rPr>
              <w:t>Total</w:t>
            </w:r>
          </w:p>
        </w:tc>
        <w:tc>
          <w:tcPr>
            <w:tcW w:w="599"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140</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14</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59</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43</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12</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106</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32</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415</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873</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397</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2</w:t>
            </w:r>
            <w:r w:rsidR="004441B0">
              <w:rPr>
                <w:rFonts w:eastAsia="Times New Roman"/>
              </w:rPr>
              <w:t>,</w:t>
            </w:r>
            <w:r>
              <w:rPr>
                <w:rFonts w:eastAsia="Times New Roman"/>
              </w:rPr>
              <w:t>044</w:t>
            </w:r>
          </w:p>
        </w:tc>
      </w:tr>
      <w:tr w:rsidR="009F20EC" w:rsidTr="007D59BD">
        <w:tblPrEx>
          <w:tblCellMar>
            <w:top w:w="0" w:type="dxa"/>
            <w:left w:w="108" w:type="dxa"/>
            <w:bottom w:w="0" w:type="dxa"/>
            <w:right w:w="108" w:type="dxa"/>
          </w:tblCellMar>
        </w:tblPrEx>
        <w:tc>
          <w:tcPr>
            <w:tcW w:w="2337" w:type="dxa"/>
            <w:tcBorders>
              <w:top w:val="single" w:sz="2" w:space="0" w:color="auto"/>
            </w:tcBorders>
            <w:tcMar>
              <w:top w:w="57" w:type="dxa"/>
              <w:left w:w="57" w:type="dxa"/>
              <w:bottom w:w="57" w:type="dxa"/>
              <w:right w:w="57" w:type="dxa"/>
            </w:tcMar>
            <w:hideMark/>
          </w:tcPr>
          <w:p w:rsidR="009F20EC" w:rsidRDefault="009F20EC">
            <w:pPr>
              <w:rPr>
                <w:rFonts w:eastAsia="Times New Roman"/>
                <w:sz w:val="24"/>
                <w:szCs w:val="24"/>
              </w:rPr>
            </w:pPr>
            <w:r>
              <w:rPr>
                <w:rFonts w:eastAsia="Times New Roman"/>
              </w:rPr>
              <w:t>Indigenous status completeness</w:t>
            </w:r>
            <w:r>
              <w:rPr>
                <w:rFonts w:eastAsia="Times New Roman"/>
                <w:vertAlign w:val="superscript"/>
              </w:rPr>
              <w:t>*</w:t>
            </w:r>
            <w:r>
              <w:rPr>
                <w:rFonts w:eastAsia="Times New Roman"/>
              </w:rPr>
              <w:t xml:space="preserve"> (%)</w:t>
            </w:r>
          </w:p>
        </w:tc>
        <w:tc>
          <w:tcPr>
            <w:tcW w:w="599" w:type="dxa"/>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73</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98</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78</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85</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88</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89</w:t>
            </w:r>
          </w:p>
        </w:tc>
        <w:tc>
          <w:tcPr>
            <w:tcW w:w="0" w:type="auto"/>
            <w:tcBorders>
              <w:top w:val="single" w:sz="2" w:space="0" w:color="auto"/>
            </w:tcBorders>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88</w:t>
            </w:r>
          </w:p>
        </w:tc>
      </w:tr>
      <w:tr w:rsidR="009F20EC" w:rsidTr="00E5094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337"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 xml:space="preserve">Indigenous status completeness in targeted groups </w:t>
            </w:r>
            <w:r>
              <w:rPr>
                <w:rFonts w:eastAsia="Times New Roman"/>
                <w:vertAlign w:val="superscript"/>
              </w:rPr>
              <w:t>*†</w:t>
            </w:r>
            <w:r>
              <w:rPr>
                <w:rFonts w:eastAsia="Times New Roman"/>
              </w:rPr>
              <w:t xml:space="preserve"> (%)</w:t>
            </w:r>
          </w:p>
        </w:tc>
        <w:tc>
          <w:tcPr>
            <w:tcW w:w="599" w:type="dxa"/>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81</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97</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89</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93</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96</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94</w:t>
            </w:r>
          </w:p>
        </w:tc>
      </w:tr>
      <w:tr w:rsidR="009F20EC" w:rsidTr="00E50947">
        <w:tblPrEx>
          <w:tblCellMar>
            <w:top w:w="0" w:type="dxa"/>
            <w:left w:w="108" w:type="dxa"/>
            <w:bottom w:w="0" w:type="dxa"/>
            <w:right w:w="108" w:type="dxa"/>
          </w:tblCellMar>
        </w:tblPrEx>
        <w:tc>
          <w:tcPr>
            <w:tcW w:w="2337"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 xml:space="preserve">Serotype completeness </w:t>
            </w:r>
            <w:r>
              <w:rPr>
                <w:rFonts w:eastAsia="Times New Roman"/>
                <w:vertAlign w:val="superscript"/>
              </w:rPr>
              <w:t>‡</w:t>
            </w:r>
            <w:r>
              <w:rPr>
                <w:rFonts w:eastAsia="Times New Roman"/>
              </w:rPr>
              <w:t xml:space="preserve"> (%)</w:t>
            </w:r>
          </w:p>
        </w:tc>
        <w:tc>
          <w:tcPr>
            <w:tcW w:w="599" w:type="dxa"/>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86</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86</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93</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63</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75</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89</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91</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86</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92</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96</w:t>
            </w:r>
          </w:p>
        </w:tc>
        <w:tc>
          <w:tcPr>
            <w:tcW w:w="0" w:type="auto"/>
            <w:tcMar>
              <w:top w:w="57" w:type="dxa"/>
              <w:left w:w="57" w:type="dxa"/>
              <w:bottom w:w="57" w:type="dxa"/>
              <w:right w:w="57" w:type="dxa"/>
            </w:tcMar>
            <w:hideMark/>
          </w:tcPr>
          <w:p w:rsidR="009F20EC" w:rsidRDefault="009F20EC" w:rsidP="00870DC3">
            <w:pPr>
              <w:jc w:val="center"/>
              <w:rPr>
                <w:rFonts w:eastAsia="Times New Roman"/>
                <w:sz w:val="24"/>
                <w:szCs w:val="24"/>
              </w:rPr>
            </w:pPr>
            <w:r>
              <w:rPr>
                <w:rFonts w:eastAsia="Times New Roman"/>
              </w:rPr>
              <w:t>93</w:t>
            </w:r>
          </w:p>
        </w:tc>
      </w:tr>
    </w:tbl>
    <w:p w:rsidR="009F20EC" w:rsidRDefault="00B346AA" w:rsidP="00CD0CCE">
      <w:pPr>
        <w:pStyle w:val="CDIfootnotes"/>
      </w:pPr>
      <w:r>
        <w:rPr>
          <w:vertAlign w:val="superscript"/>
        </w:rPr>
        <w:br/>
      </w:r>
      <w:r w:rsidR="009F20EC">
        <w:rPr>
          <w:vertAlign w:val="superscript"/>
        </w:rPr>
        <w:t>*</w:t>
      </w:r>
      <w:r w:rsidR="009F20EC">
        <w:t xml:space="preserve"> Indigenous status completeness is defined as the reporting of a known Indigenous status, excluding the reporting of not stated or unknown Indigenous status.</w:t>
      </w:r>
      <w:r w:rsidR="009F20EC">
        <w:br/>
      </w:r>
      <w:r w:rsidR="009F20EC">
        <w:rPr>
          <w:vertAlign w:val="superscript"/>
        </w:rPr>
        <w:t>†</w:t>
      </w:r>
      <w:r w:rsidR="009F20EC">
        <w:t xml:space="preserve"> Targeted groups for </w:t>
      </w:r>
      <w:proofErr w:type="spellStart"/>
      <w:r w:rsidR="009F20EC">
        <w:t>followup</w:t>
      </w:r>
      <w:proofErr w:type="spellEnd"/>
      <w:r w:rsidR="009F20EC">
        <w:t xml:space="preserve"> by almost all jurisdictions and public health units are cases aged less than 5 years and 50 years and over.</w:t>
      </w:r>
      <w:r w:rsidR="009F20EC">
        <w:br/>
      </w:r>
      <w:r w:rsidR="009F20EC">
        <w:rPr>
          <w:vertAlign w:val="superscript"/>
        </w:rPr>
        <w:t>‡</w:t>
      </w:r>
      <w:r w:rsidR="009F20EC">
        <w:t xml:space="preserve"> Serotype completeness is the proportion of all cases of invasive pneumococcal disease that were reported with a serotype or reported as non-</w:t>
      </w:r>
      <w:proofErr w:type="spellStart"/>
      <w:r w:rsidR="009F20EC">
        <w:t>typable</w:t>
      </w:r>
      <w:proofErr w:type="spellEnd"/>
      <w:r w:rsidR="009F20EC">
        <w:t>. Incomplete serotype data can occur in cases when (</w:t>
      </w:r>
      <w:proofErr w:type="spellStart"/>
      <w:r w:rsidR="009F20EC">
        <w:t>i</w:t>
      </w:r>
      <w:proofErr w:type="spellEnd"/>
      <w:r w:rsidR="009F20EC">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rsidR="00491CB6" w:rsidRDefault="00491CB6">
      <w:pPr>
        <w:rPr>
          <w:rFonts w:eastAsia="Times New Roman"/>
        </w:rPr>
      </w:pPr>
      <w:r>
        <w:rPr>
          <w:rFonts w:eastAsia="Times New Roman"/>
        </w:rPr>
        <w:br w:type="page"/>
      </w:r>
    </w:p>
    <w:p w:rsidR="009F20EC" w:rsidRDefault="009F20EC" w:rsidP="00F02861">
      <w:pPr>
        <w:pStyle w:val="CDIFigures"/>
        <w:divId w:val="1888108774"/>
        <w:rPr>
          <w:rFonts w:eastAsia="Times New Roman"/>
        </w:rPr>
      </w:pPr>
      <w:r>
        <w:rPr>
          <w:rFonts w:eastAsia="Times New Roman"/>
        </w:rPr>
        <w:t xml:space="preserve">Table 2: Distribution of serotypes causing invasive pneumococcal disease in notified cases, Australia, 1 October to 31 December 2017, by age group </w:t>
      </w:r>
    </w:p>
    <w:tbl>
      <w:tblPr>
        <w:tblStyle w:val="CDI-StandardTable"/>
        <w:tblW w:w="0" w:type="auto"/>
        <w:tblLook w:val="04A0" w:firstRow="1" w:lastRow="0" w:firstColumn="1" w:lastColumn="0" w:noHBand="0" w:noVBand="1"/>
        <w:tblCaption w:val="Table 2: Distribution of serotypes causing invasive pneumococcal disease in notified cases, Australia, 1 October to 31 December 2017, by age group "/>
        <w:tblDescription w:val="Table 2- This table shows the distribution of serotypes by age group over the reporting quarter, including a reference to any relevant vaccine type. It shows that serotype 3 was the most common cause of IPD this quarter followed by serotypes 22F and 9N. "/>
      </w:tblPr>
      <w:tblGrid>
        <w:gridCol w:w="918"/>
        <w:gridCol w:w="3189"/>
        <w:gridCol w:w="1482"/>
        <w:gridCol w:w="1482"/>
        <w:gridCol w:w="1542"/>
        <w:gridCol w:w="1748"/>
      </w:tblGrid>
      <w:tr w:rsidR="000C609F" w:rsidRPr="000C609F" w:rsidTr="00425562">
        <w:trPr>
          <w:cnfStyle w:val="100000000000" w:firstRow="1" w:lastRow="0" w:firstColumn="0" w:lastColumn="0" w:oddVBand="0" w:evenVBand="0" w:oddHBand="0" w:evenHBand="0" w:firstRowFirstColumn="0" w:firstRowLastColumn="0" w:lastRowFirstColumn="0" w:lastRowLastColumn="0"/>
          <w:divId w:val="1888108774"/>
          <w:tblHeader/>
        </w:trPr>
        <w:tc>
          <w:tcPr>
            <w:tcW w:w="0" w:type="auto"/>
            <w:vMerge w:val="restart"/>
            <w:tcMar>
              <w:top w:w="28" w:type="dxa"/>
              <w:left w:w="28" w:type="dxa"/>
              <w:bottom w:w="28" w:type="dxa"/>
              <w:right w:w="28" w:type="dxa"/>
            </w:tcMar>
            <w:hideMark/>
          </w:tcPr>
          <w:p w:rsidR="009F20EC" w:rsidRPr="000C609F" w:rsidRDefault="009F20EC">
            <w:pPr>
              <w:rPr>
                <w:rFonts w:eastAsia="Times New Roman"/>
                <w:color w:val="FFFFFF" w:themeColor="background1"/>
                <w:sz w:val="24"/>
                <w:szCs w:val="24"/>
              </w:rPr>
            </w:pPr>
            <w:r w:rsidRPr="000C609F">
              <w:rPr>
                <w:rFonts w:eastAsia="Times New Roman"/>
                <w:color w:val="FFFFFF" w:themeColor="background1"/>
              </w:rPr>
              <w:t>Serotype</w:t>
            </w:r>
          </w:p>
        </w:tc>
        <w:tc>
          <w:tcPr>
            <w:tcW w:w="3189" w:type="dxa"/>
            <w:vMerge w:val="restart"/>
            <w:tcMar>
              <w:top w:w="28" w:type="dxa"/>
              <w:left w:w="28" w:type="dxa"/>
              <w:bottom w:w="28" w:type="dxa"/>
              <w:right w:w="28" w:type="dxa"/>
            </w:tcMar>
            <w:hideMark/>
          </w:tcPr>
          <w:p w:rsidR="009F20EC" w:rsidRPr="000C609F" w:rsidRDefault="009F20EC">
            <w:pPr>
              <w:rPr>
                <w:rFonts w:eastAsia="Times New Roman"/>
                <w:color w:val="FFFFFF" w:themeColor="background1"/>
                <w:sz w:val="24"/>
                <w:szCs w:val="24"/>
              </w:rPr>
            </w:pPr>
            <w:r w:rsidRPr="000C609F">
              <w:rPr>
                <w:rFonts w:eastAsia="Times New Roman"/>
                <w:color w:val="FFFFFF" w:themeColor="background1"/>
              </w:rPr>
              <w:t>Vaccine type</w:t>
            </w:r>
          </w:p>
        </w:tc>
        <w:tc>
          <w:tcPr>
            <w:tcW w:w="4506" w:type="dxa"/>
            <w:gridSpan w:val="3"/>
            <w:tcMar>
              <w:top w:w="28" w:type="dxa"/>
              <w:left w:w="28" w:type="dxa"/>
              <w:bottom w:w="28" w:type="dxa"/>
              <w:right w:w="28" w:type="dxa"/>
            </w:tcMar>
            <w:hideMark/>
          </w:tcPr>
          <w:p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Age groups</w:t>
            </w:r>
          </w:p>
        </w:tc>
        <w:tc>
          <w:tcPr>
            <w:tcW w:w="1748" w:type="dxa"/>
            <w:vMerge w:val="restart"/>
            <w:tcMar>
              <w:top w:w="28" w:type="dxa"/>
              <w:left w:w="28" w:type="dxa"/>
              <w:bottom w:w="28" w:type="dxa"/>
              <w:right w:w="28" w:type="dxa"/>
            </w:tcMar>
            <w:hideMark/>
          </w:tcPr>
          <w:p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Serotype total</w:t>
            </w:r>
          </w:p>
        </w:tc>
      </w:tr>
      <w:tr w:rsidR="000C609F" w:rsidRPr="000C609F" w:rsidTr="00425562">
        <w:trPr>
          <w:cnfStyle w:val="100000000000" w:firstRow="1" w:lastRow="0" w:firstColumn="0" w:lastColumn="0" w:oddVBand="0" w:evenVBand="0" w:oddHBand="0" w:evenHBand="0" w:firstRowFirstColumn="0" w:firstRowLastColumn="0" w:lastRowFirstColumn="0" w:lastRowLastColumn="0"/>
          <w:divId w:val="1888108774"/>
          <w:tblHeader/>
        </w:trPr>
        <w:tc>
          <w:tcPr>
            <w:tcW w:w="0" w:type="auto"/>
            <w:vMerge/>
            <w:tcMar>
              <w:top w:w="28" w:type="dxa"/>
              <w:left w:w="28" w:type="dxa"/>
              <w:bottom w:w="28" w:type="dxa"/>
              <w:right w:w="28" w:type="dxa"/>
            </w:tcMar>
            <w:hideMark/>
          </w:tcPr>
          <w:p w:rsidR="009F20EC" w:rsidRPr="000C609F" w:rsidRDefault="009F20EC">
            <w:pPr>
              <w:rPr>
                <w:rFonts w:eastAsia="Times New Roman"/>
                <w:color w:val="FFFFFF" w:themeColor="background1"/>
                <w:sz w:val="24"/>
                <w:szCs w:val="24"/>
              </w:rPr>
            </w:pPr>
          </w:p>
        </w:tc>
        <w:tc>
          <w:tcPr>
            <w:tcW w:w="3189" w:type="dxa"/>
            <w:vMerge/>
            <w:tcMar>
              <w:top w:w="28" w:type="dxa"/>
              <w:left w:w="28" w:type="dxa"/>
              <w:bottom w:w="28" w:type="dxa"/>
              <w:right w:w="28" w:type="dxa"/>
            </w:tcMar>
            <w:hideMark/>
          </w:tcPr>
          <w:p w:rsidR="009F20EC" w:rsidRPr="000C609F" w:rsidRDefault="009F20EC">
            <w:pPr>
              <w:rPr>
                <w:rFonts w:eastAsia="Times New Roman"/>
                <w:color w:val="FFFFFF" w:themeColor="background1"/>
                <w:sz w:val="24"/>
                <w:szCs w:val="24"/>
              </w:rPr>
            </w:pPr>
          </w:p>
        </w:tc>
        <w:tc>
          <w:tcPr>
            <w:tcW w:w="1482" w:type="dxa"/>
            <w:tcMar>
              <w:top w:w="28" w:type="dxa"/>
              <w:left w:w="28" w:type="dxa"/>
              <w:bottom w:w="28" w:type="dxa"/>
              <w:right w:w="28" w:type="dxa"/>
            </w:tcMar>
            <w:hideMark/>
          </w:tcPr>
          <w:p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Under 5 years</w:t>
            </w:r>
          </w:p>
        </w:tc>
        <w:tc>
          <w:tcPr>
            <w:tcW w:w="1482" w:type="dxa"/>
            <w:tcMar>
              <w:top w:w="28" w:type="dxa"/>
              <w:left w:w="28" w:type="dxa"/>
              <w:bottom w:w="28" w:type="dxa"/>
              <w:right w:w="28" w:type="dxa"/>
            </w:tcMar>
            <w:hideMark/>
          </w:tcPr>
          <w:p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5-64 years</w:t>
            </w:r>
          </w:p>
        </w:tc>
        <w:tc>
          <w:tcPr>
            <w:tcW w:w="1482" w:type="dxa"/>
            <w:tcMar>
              <w:top w:w="28" w:type="dxa"/>
              <w:left w:w="28" w:type="dxa"/>
              <w:bottom w:w="28" w:type="dxa"/>
              <w:right w:w="28" w:type="dxa"/>
            </w:tcMar>
            <w:hideMark/>
          </w:tcPr>
          <w:p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Over 65 years</w:t>
            </w:r>
          </w:p>
        </w:tc>
        <w:tc>
          <w:tcPr>
            <w:tcW w:w="1748" w:type="dxa"/>
            <w:vMerge/>
            <w:tcMar>
              <w:top w:w="28" w:type="dxa"/>
              <w:left w:w="28" w:type="dxa"/>
              <w:bottom w:w="28" w:type="dxa"/>
              <w:right w:w="28" w:type="dxa"/>
            </w:tcMar>
            <w:hideMark/>
          </w:tcPr>
          <w:p w:rsidR="009F20EC" w:rsidRPr="000C609F" w:rsidRDefault="009F20EC" w:rsidP="00F02861">
            <w:pPr>
              <w:jc w:val="center"/>
              <w:rPr>
                <w:rFonts w:eastAsia="Times New Roman"/>
                <w:color w:val="FFFFFF" w:themeColor="background1"/>
                <w:sz w:val="24"/>
                <w:szCs w:val="24"/>
              </w:rPr>
            </w:pP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3</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13vPCV non-7vPCV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9</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14</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14</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37</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22F</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14</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15</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32</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9N</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13</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21</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19F</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7vPCV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8</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9</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20</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23A</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8</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12</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20</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19A</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13vPCV non-7vPCV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8</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6</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19</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8</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9</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15</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10A</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9</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4</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14</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23B</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14</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11A</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6</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12</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6C</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12</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31</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4</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11</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16F</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11</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35B</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6</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11</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14</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7vPCV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9</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15A</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4</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9</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33F</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4</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9</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4</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7vPCV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6</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12F</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15B</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4</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17F</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4</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35F</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15C</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6</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7F</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13vPCV non-7vPCV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4</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6</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38</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5</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20</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34</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18C</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7vPCV</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r>
      <w:tr w:rsidR="00425562"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7C</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r>
      <w:tr w:rsidR="009F20EC"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rsidR="009F20EC" w:rsidRDefault="009F20EC">
            <w:pPr>
              <w:rPr>
                <w:rFonts w:eastAsia="Times New Roman"/>
                <w:sz w:val="24"/>
                <w:szCs w:val="24"/>
              </w:rPr>
            </w:pPr>
            <w:r>
              <w:rPr>
                <w:rFonts w:eastAsia="Times New Roman"/>
              </w:rPr>
              <w:t>Other</w:t>
            </w:r>
          </w:p>
        </w:tc>
        <w:tc>
          <w:tcPr>
            <w:tcW w:w="3189" w:type="dxa"/>
            <w:tcMar>
              <w:top w:w="28" w:type="dxa"/>
              <w:left w:w="28" w:type="dxa"/>
              <w:bottom w:w="28" w:type="dxa"/>
              <w:right w:w="28" w:type="dxa"/>
            </w:tcMar>
            <w:hideMark/>
          </w:tcPr>
          <w:p w:rsidR="009F20EC" w:rsidRDefault="009F20EC">
            <w:pP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4</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8</w:t>
            </w:r>
          </w:p>
        </w:tc>
        <w:tc>
          <w:tcPr>
            <w:tcW w:w="1482"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15</w:t>
            </w:r>
          </w:p>
        </w:tc>
      </w:tr>
      <w:tr w:rsidR="00425562" w:rsidTr="00CC76A0">
        <w:tblPrEx>
          <w:tblCellMar>
            <w:top w:w="0" w:type="dxa"/>
            <w:left w:w="108" w:type="dxa"/>
            <w:bottom w:w="0" w:type="dxa"/>
            <w:right w:w="108" w:type="dxa"/>
          </w:tblCellMar>
        </w:tblPrEx>
        <w:trPr>
          <w:divId w:val="1888108774"/>
        </w:trPr>
        <w:tc>
          <w:tcPr>
            <w:tcW w:w="0" w:type="auto"/>
            <w:tcBorders>
              <w:bottom w:val="single" w:sz="2" w:space="0" w:color="auto"/>
            </w:tcBorders>
            <w:tcMar>
              <w:top w:w="28" w:type="dxa"/>
              <w:left w:w="28" w:type="dxa"/>
              <w:bottom w:w="28" w:type="dxa"/>
              <w:right w:w="28" w:type="dxa"/>
            </w:tcMar>
            <w:hideMark/>
          </w:tcPr>
          <w:p w:rsidR="009F20EC" w:rsidRDefault="009F20EC">
            <w:pPr>
              <w:rPr>
                <w:rFonts w:eastAsia="Times New Roman"/>
                <w:sz w:val="24"/>
                <w:szCs w:val="24"/>
              </w:rPr>
            </w:pPr>
            <w:r>
              <w:rPr>
                <w:rFonts w:eastAsia="Times New Roman"/>
              </w:rPr>
              <w:t>Unknown</w:t>
            </w:r>
          </w:p>
        </w:tc>
        <w:tc>
          <w:tcPr>
            <w:tcW w:w="3189" w:type="dxa"/>
            <w:tcBorders>
              <w:bottom w:val="single" w:sz="2" w:space="0" w:color="auto"/>
            </w:tcBorders>
            <w:tcMar>
              <w:top w:w="28" w:type="dxa"/>
              <w:left w:w="28" w:type="dxa"/>
              <w:bottom w:w="28" w:type="dxa"/>
              <w:right w:w="28" w:type="dxa"/>
            </w:tcMar>
            <w:hideMark/>
          </w:tcPr>
          <w:p w:rsidR="009F20EC" w:rsidRDefault="009F20EC">
            <w:pPr>
              <w:rPr>
                <w:rFonts w:eastAsia="Times New Roman"/>
                <w:sz w:val="24"/>
                <w:szCs w:val="24"/>
              </w:rPr>
            </w:pPr>
            <w:r>
              <w:rPr>
                <w:rFonts w:eastAsia="Times New Roman"/>
              </w:rPr>
              <w:t>-</w:t>
            </w:r>
          </w:p>
        </w:tc>
        <w:tc>
          <w:tcPr>
            <w:tcW w:w="1482" w:type="dxa"/>
            <w:tcBorders>
              <w:bottom w:val="single" w:sz="2" w:space="0" w:color="auto"/>
            </w:tcBorders>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26</w:t>
            </w:r>
          </w:p>
        </w:tc>
        <w:tc>
          <w:tcPr>
            <w:tcW w:w="1482" w:type="dxa"/>
            <w:tcBorders>
              <w:bottom w:val="single" w:sz="2" w:space="0" w:color="auto"/>
            </w:tcBorders>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27</w:t>
            </w:r>
          </w:p>
        </w:tc>
        <w:tc>
          <w:tcPr>
            <w:tcW w:w="1482" w:type="dxa"/>
            <w:tcBorders>
              <w:bottom w:val="single" w:sz="2" w:space="0" w:color="auto"/>
            </w:tcBorders>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7</w:t>
            </w:r>
          </w:p>
        </w:tc>
        <w:tc>
          <w:tcPr>
            <w:tcW w:w="1748" w:type="dxa"/>
            <w:tcBorders>
              <w:bottom w:val="single" w:sz="2" w:space="0" w:color="auto"/>
            </w:tcBorders>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60</w:t>
            </w:r>
          </w:p>
        </w:tc>
      </w:tr>
      <w:tr w:rsidR="009F20EC" w:rsidTr="00CC76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rsidR="009F20EC" w:rsidRDefault="009F20EC">
            <w:pPr>
              <w:rPr>
                <w:rFonts w:eastAsia="Times New Roman"/>
                <w:sz w:val="24"/>
                <w:szCs w:val="24"/>
              </w:rPr>
            </w:pPr>
            <w:r>
              <w:rPr>
                <w:rFonts w:eastAsia="Times New Roman"/>
              </w:rPr>
              <w:t>Total</w:t>
            </w:r>
          </w:p>
        </w:tc>
        <w:tc>
          <w:tcPr>
            <w:tcW w:w="3189"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rsidR="009F20EC" w:rsidRDefault="009F20EC">
            <w:pPr>
              <w:rPr>
                <w:rFonts w:eastAsia="Times New Roman"/>
                <w:sz w:val="24"/>
                <w:szCs w:val="24"/>
              </w:rPr>
            </w:pPr>
          </w:p>
        </w:tc>
        <w:tc>
          <w:tcPr>
            <w:tcW w:w="1482"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65</w:t>
            </w:r>
          </w:p>
        </w:tc>
        <w:tc>
          <w:tcPr>
            <w:tcW w:w="1482"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192</w:t>
            </w:r>
          </w:p>
        </w:tc>
        <w:tc>
          <w:tcPr>
            <w:tcW w:w="1482"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158</w:t>
            </w:r>
          </w:p>
        </w:tc>
        <w:tc>
          <w:tcPr>
            <w:tcW w:w="1748"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rsidR="009F20EC" w:rsidRDefault="009F20EC" w:rsidP="00F02861">
            <w:pPr>
              <w:jc w:val="center"/>
              <w:rPr>
                <w:rFonts w:eastAsia="Times New Roman"/>
                <w:sz w:val="24"/>
                <w:szCs w:val="24"/>
              </w:rPr>
            </w:pPr>
            <w:r>
              <w:rPr>
                <w:rFonts w:eastAsia="Times New Roman"/>
              </w:rPr>
              <w:t>415</w:t>
            </w:r>
          </w:p>
        </w:tc>
      </w:tr>
    </w:tbl>
    <w:p w:rsidR="009F20EC" w:rsidRDefault="009F20EC" w:rsidP="000C609F">
      <w:pPr>
        <w:pStyle w:val="CDIfootnotes"/>
        <w:divId w:val="1888108774"/>
        <w:rPr>
          <w:rFonts w:eastAsia="Times New Roman"/>
        </w:rPr>
      </w:pPr>
      <w:r>
        <w:rPr>
          <w:rFonts w:eastAsia="Times New Roman"/>
          <w:vertAlign w:val="superscript"/>
        </w:rPr>
        <w:t>*</w:t>
      </w:r>
      <w:r>
        <w:rPr>
          <w:rFonts w:eastAsia="Times New Roman"/>
        </w:rPr>
        <w:t xml:space="preserve"> Serotypes that only occur in less than 5 cases per quarter are grouped as ‘Other’ and include ‘non-</w:t>
      </w:r>
      <w:proofErr w:type="spellStart"/>
      <w:r>
        <w:rPr>
          <w:rFonts w:eastAsia="Times New Roman"/>
        </w:rPr>
        <w:t>typable</w:t>
      </w:r>
      <w:proofErr w:type="spellEnd"/>
      <w:r>
        <w:rPr>
          <w:rFonts w:eastAsia="Times New Roman"/>
        </w:rPr>
        <w:t>’ isolates this quarter.</w:t>
      </w:r>
      <w:r>
        <w:rPr>
          <w:rFonts w:eastAsia="Times New Roman"/>
        </w:rPr>
        <w:br/>
      </w:r>
      <w:r>
        <w:rPr>
          <w:rFonts w:eastAsia="Times New Roman"/>
          <w:vertAlign w:val="superscript"/>
        </w:rPr>
        <w:t>†</w:t>
      </w:r>
      <w:r>
        <w:rPr>
          <w:rFonts w:eastAsia="Times New Roman"/>
        </w:rPr>
        <w:t xml:space="preserve"> ‘Serotype unknown’ includes those serotypes reported as ‘no isolate’, ‘not referred’, ‘not viable’, ‘typing pending’ and ‘</w:t>
      </w:r>
      <w:proofErr w:type="spellStart"/>
      <w:r>
        <w:rPr>
          <w:rFonts w:eastAsia="Times New Roman"/>
        </w:rPr>
        <w:t>untyped</w:t>
      </w:r>
      <w:proofErr w:type="spellEnd"/>
      <w:r>
        <w:rPr>
          <w:rFonts w:eastAsia="Times New Roman"/>
        </w:rPr>
        <w:t>’.</w:t>
      </w:r>
    </w:p>
    <w:p w:rsidR="000C609F" w:rsidRDefault="000C609F">
      <w:r>
        <w:br w:type="page"/>
      </w:r>
    </w:p>
    <w:p w:rsidR="009F20EC" w:rsidRDefault="009F20EC">
      <w:pPr>
        <w:pStyle w:val="NormalWeb"/>
      </w:pPr>
      <w:r>
        <w:t xml:space="preserve">Among non-Indigenous Australians this quarter, the number of notified cases continued to be highest in children aged less than 5 years and older adult age groups, especially those aged 60 years or older (Table 3). Among Indigenous Australians, notifications tended to be highest among children aged less than 5 years and adults aged 45 to 49 years, as well as those aged 65 years and over. The proportion of cases reported as Indigenous Australians this quarter (14%; 59/415) was higher compared to the proportion observed in the previous quarter (11%; 97/873) and also in the fourth quarter of 2016 (11%; 45/397) (Table 1). </w:t>
      </w:r>
    </w:p>
    <w:p w:rsidR="009F20EC" w:rsidRDefault="009F20EC" w:rsidP="00981E4B">
      <w:pPr>
        <w:pStyle w:val="CDIFigures"/>
        <w:divId w:val="1575092265"/>
        <w:rPr>
          <w:rFonts w:eastAsia="Times New Roman"/>
        </w:rPr>
      </w:pPr>
      <w:r>
        <w:rPr>
          <w:rFonts w:eastAsia="Times New Roman"/>
        </w:rPr>
        <w:t xml:space="preserve">Table 3: Notified cases of invasive pneumococcal disease, Australia, 1 October to 31 December 2017, by Indigenous status and age group </w:t>
      </w:r>
    </w:p>
    <w:tbl>
      <w:tblPr>
        <w:tblStyle w:val="CDI-StandardTable"/>
        <w:tblW w:w="0" w:type="auto"/>
        <w:tblLook w:val="04A0" w:firstRow="1" w:lastRow="0" w:firstColumn="1" w:lastColumn="0" w:noHBand="0" w:noVBand="1"/>
        <w:tblCaption w:val="Table 3: Notified cases of invasive pneumococcal disease, Australia, 1 October to 31 December 2017, by Indigenous status and age group "/>
        <w:tblDescription w:val="Table 3: This table shows the number of IPD cases by Indigenous status and age group for the quarter. In the current reporting quarter, 14% of IPD cases were reported as Indigenous, 71% of cases were reported as non-Indigenous and 15% did not have Indigenous status reported."/>
      </w:tblPr>
      <w:tblGrid>
        <w:gridCol w:w="3261"/>
        <w:gridCol w:w="1870"/>
        <w:gridCol w:w="1870"/>
        <w:gridCol w:w="1930"/>
        <w:gridCol w:w="1464"/>
      </w:tblGrid>
      <w:tr w:rsidR="009F20EC" w:rsidTr="00981E4B">
        <w:trPr>
          <w:cnfStyle w:val="100000000000" w:firstRow="1" w:lastRow="0" w:firstColumn="0" w:lastColumn="0" w:oddVBand="0" w:evenVBand="0" w:oddHBand="0" w:evenHBand="0" w:firstRowFirstColumn="0" w:firstRowLastColumn="0" w:lastRowFirstColumn="0" w:lastRowLastColumn="0"/>
          <w:divId w:val="1575092265"/>
          <w:tblHeader/>
        </w:trPr>
        <w:tc>
          <w:tcPr>
            <w:tcW w:w="3261" w:type="dxa"/>
            <w:vMerge w:val="restart"/>
            <w:tcMar>
              <w:top w:w="57" w:type="dxa"/>
              <w:left w:w="57" w:type="dxa"/>
              <w:bottom w:w="57" w:type="dxa"/>
              <w:right w:w="57" w:type="dxa"/>
            </w:tcMar>
            <w:hideMark/>
          </w:tcPr>
          <w:p w:rsidR="009F20EC" w:rsidRPr="00981E4B" w:rsidRDefault="009F20EC">
            <w:pPr>
              <w:rPr>
                <w:rFonts w:eastAsia="Times New Roman"/>
                <w:color w:val="FFFFFF" w:themeColor="background1"/>
                <w:sz w:val="24"/>
                <w:szCs w:val="24"/>
              </w:rPr>
            </w:pPr>
            <w:r w:rsidRPr="00981E4B">
              <w:rPr>
                <w:rFonts w:eastAsia="Times New Roman"/>
                <w:color w:val="FFFFFF" w:themeColor="background1"/>
              </w:rPr>
              <w:t>Age group</w:t>
            </w:r>
          </w:p>
        </w:tc>
        <w:tc>
          <w:tcPr>
            <w:tcW w:w="5670" w:type="dxa"/>
            <w:gridSpan w:val="3"/>
            <w:tcMar>
              <w:top w:w="57" w:type="dxa"/>
              <w:left w:w="57" w:type="dxa"/>
              <w:bottom w:w="57" w:type="dxa"/>
              <w:right w:w="57" w:type="dxa"/>
            </w:tcMar>
            <w:hideMark/>
          </w:tcPr>
          <w:p w:rsidR="009F20EC" w:rsidRPr="00981E4B" w:rsidRDefault="009F20EC" w:rsidP="00981E4B">
            <w:pPr>
              <w:jc w:val="center"/>
              <w:rPr>
                <w:rFonts w:eastAsia="Times New Roman"/>
                <w:color w:val="FFFFFF" w:themeColor="background1"/>
                <w:sz w:val="24"/>
                <w:szCs w:val="24"/>
              </w:rPr>
            </w:pPr>
            <w:r w:rsidRPr="00981E4B">
              <w:rPr>
                <w:rFonts w:eastAsia="Times New Roman"/>
                <w:color w:val="FFFFFF" w:themeColor="background1"/>
              </w:rPr>
              <w:t>Indigenous status</w:t>
            </w:r>
          </w:p>
        </w:tc>
        <w:tc>
          <w:tcPr>
            <w:tcW w:w="1464" w:type="dxa"/>
            <w:vMerge w:val="restart"/>
            <w:tcMar>
              <w:top w:w="57" w:type="dxa"/>
              <w:left w:w="57" w:type="dxa"/>
              <w:bottom w:w="57" w:type="dxa"/>
              <w:right w:w="57" w:type="dxa"/>
            </w:tcMar>
            <w:hideMark/>
          </w:tcPr>
          <w:p w:rsidR="009F20EC" w:rsidRDefault="009F20EC" w:rsidP="00981E4B">
            <w:pPr>
              <w:jc w:val="center"/>
              <w:rPr>
                <w:rFonts w:eastAsia="Times New Roman"/>
                <w:sz w:val="24"/>
                <w:szCs w:val="24"/>
              </w:rPr>
            </w:pPr>
            <w:r w:rsidRPr="00981E4B">
              <w:rPr>
                <w:rFonts w:eastAsia="Times New Roman"/>
                <w:color w:val="FFFFFF" w:themeColor="background1"/>
              </w:rPr>
              <w:t>Total</w:t>
            </w:r>
          </w:p>
        </w:tc>
      </w:tr>
      <w:tr w:rsidR="009F20EC" w:rsidTr="00981E4B">
        <w:trPr>
          <w:cnfStyle w:val="100000000000" w:firstRow="1" w:lastRow="0" w:firstColumn="0" w:lastColumn="0" w:oddVBand="0" w:evenVBand="0" w:oddHBand="0" w:evenHBand="0" w:firstRowFirstColumn="0" w:firstRowLastColumn="0" w:lastRowFirstColumn="0" w:lastRowLastColumn="0"/>
          <w:divId w:val="1575092265"/>
          <w:tblHeader/>
        </w:trPr>
        <w:tc>
          <w:tcPr>
            <w:tcW w:w="3261" w:type="dxa"/>
            <w:vMerge/>
            <w:tcMar>
              <w:top w:w="57" w:type="dxa"/>
              <w:left w:w="57" w:type="dxa"/>
              <w:bottom w:w="57" w:type="dxa"/>
              <w:right w:w="57" w:type="dxa"/>
            </w:tcMar>
            <w:hideMark/>
          </w:tcPr>
          <w:p w:rsidR="009F20EC" w:rsidRPr="00981E4B" w:rsidRDefault="009F20EC">
            <w:pPr>
              <w:rPr>
                <w:rFonts w:eastAsia="Times New Roman"/>
                <w:color w:val="FFFFFF" w:themeColor="background1"/>
                <w:sz w:val="24"/>
                <w:szCs w:val="24"/>
              </w:rPr>
            </w:pPr>
          </w:p>
        </w:tc>
        <w:tc>
          <w:tcPr>
            <w:tcW w:w="1870" w:type="dxa"/>
            <w:tcMar>
              <w:top w:w="57" w:type="dxa"/>
              <w:left w:w="57" w:type="dxa"/>
              <w:bottom w:w="57" w:type="dxa"/>
              <w:right w:w="57" w:type="dxa"/>
            </w:tcMar>
            <w:hideMark/>
          </w:tcPr>
          <w:p w:rsidR="009F20EC" w:rsidRPr="00981E4B" w:rsidRDefault="009F20EC" w:rsidP="00981E4B">
            <w:pPr>
              <w:jc w:val="center"/>
              <w:rPr>
                <w:rFonts w:eastAsia="Times New Roman"/>
                <w:color w:val="FFFFFF" w:themeColor="background1"/>
                <w:sz w:val="24"/>
                <w:szCs w:val="24"/>
              </w:rPr>
            </w:pPr>
            <w:r w:rsidRPr="00981E4B">
              <w:rPr>
                <w:rFonts w:eastAsia="Times New Roman"/>
                <w:color w:val="FFFFFF" w:themeColor="background1"/>
              </w:rPr>
              <w:t>Indigenous</w:t>
            </w:r>
          </w:p>
        </w:tc>
        <w:tc>
          <w:tcPr>
            <w:tcW w:w="1870" w:type="dxa"/>
            <w:tcMar>
              <w:top w:w="57" w:type="dxa"/>
              <w:left w:w="57" w:type="dxa"/>
              <w:bottom w:w="57" w:type="dxa"/>
              <w:right w:w="57" w:type="dxa"/>
            </w:tcMar>
            <w:hideMark/>
          </w:tcPr>
          <w:p w:rsidR="009F20EC" w:rsidRPr="00981E4B" w:rsidRDefault="009F20EC" w:rsidP="00981E4B">
            <w:pPr>
              <w:jc w:val="center"/>
              <w:rPr>
                <w:rFonts w:eastAsia="Times New Roman"/>
                <w:color w:val="FFFFFF" w:themeColor="background1"/>
                <w:sz w:val="24"/>
                <w:szCs w:val="24"/>
              </w:rPr>
            </w:pPr>
            <w:r w:rsidRPr="00981E4B">
              <w:rPr>
                <w:rFonts w:eastAsia="Times New Roman"/>
                <w:color w:val="FFFFFF" w:themeColor="background1"/>
              </w:rPr>
              <w:t>Non-Indigenous</w:t>
            </w:r>
          </w:p>
        </w:tc>
        <w:tc>
          <w:tcPr>
            <w:tcW w:w="1870" w:type="dxa"/>
            <w:tcMar>
              <w:top w:w="57" w:type="dxa"/>
              <w:left w:w="57" w:type="dxa"/>
              <w:bottom w:w="57" w:type="dxa"/>
              <w:right w:w="57" w:type="dxa"/>
            </w:tcMar>
            <w:hideMark/>
          </w:tcPr>
          <w:p w:rsidR="009F20EC" w:rsidRPr="00981E4B" w:rsidRDefault="009F20EC" w:rsidP="00981E4B">
            <w:pPr>
              <w:jc w:val="center"/>
              <w:rPr>
                <w:rFonts w:eastAsia="Times New Roman"/>
                <w:color w:val="FFFFFF" w:themeColor="background1"/>
                <w:sz w:val="24"/>
                <w:szCs w:val="24"/>
              </w:rPr>
            </w:pPr>
            <w:r w:rsidRPr="00981E4B">
              <w:rPr>
                <w:rFonts w:eastAsia="Times New Roman"/>
                <w:color w:val="FFFFFF" w:themeColor="background1"/>
              </w:rPr>
              <w:t>Not reported</w:t>
            </w:r>
            <w:r w:rsidRPr="00981E4B">
              <w:rPr>
                <w:rFonts w:eastAsia="Times New Roman"/>
                <w:color w:val="FFFFFF" w:themeColor="background1"/>
                <w:vertAlign w:val="superscript"/>
              </w:rPr>
              <w:t>*</w:t>
            </w:r>
          </w:p>
        </w:tc>
        <w:tc>
          <w:tcPr>
            <w:tcW w:w="1464" w:type="dxa"/>
            <w:vMerge/>
            <w:tcMar>
              <w:top w:w="57" w:type="dxa"/>
              <w:left w:w="57" w:type="dxa"/>
              <w:bottom w:w="57" w:type="dxa"/>
              <w:right w:w="57" w:type="dxa"/>
            </w:tcMar>
            <w:hideMark/>
          </w:tcPr>
          <w:p w:rsidR="009F20EC" w:rsidRDefault="009F20EC" w:rsidP="00981E4B">
            <w:pPr>
              <w:jc w:val="center"/>
              <w:rPr>
                <w:rFonts w:eastAsia="Times New Roman"/>
                <w:sz w:val="24"/>
                <w:szCs w:val="24"/>
              </w:rPr>
            </w:pPr>
          </w:p>
        </w:tc>
      </w:tr>
      <w:tr w:rsidR="00981E4B"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00-04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12</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51</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65</w:t>
            </w:r>
          </w:p>
        </w:tc>
      </w:tr>
      <w:tr w:rsidR="009F20EC"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05-09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11</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14</w:t>
            </w:r>
          </w:p>
        </w:tc>
      </w:tr>
      <w:tr w:rsidR="00981E4B"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10-14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6</w:t>
            </w:r>
          </w:p>
        </w:tc>
      </w:tr>
      <w:tr w:rsidR="009F20EC"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15-19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0</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0</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w:t>
            </w:r>
          </w:p>
        </w:tc>
      </w:tr>
      <w:tr w:rsidR="00981E4B"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20-24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0</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0</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w:t>
            </w:r>
          </w:p>
        </w:tc>
      </w:tr>
      <w:tr w:rsidR="009F20EC"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25-29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5</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10</w:t>
            </w:r>
          </w:p>
        </w:tc>
      </w:tr>
      <w:tr w:rsidR="00981E4B"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30-34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5</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17</w:t>
            </w:r>
          </w:p>
        </w:tc>
      </w:tr>
      <w:tr w:rsidR="009F20EC"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35-39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5</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7</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8</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20</w:t>
            </w:r>
          </w:p>
        </w:tc>
      </w:tr>
      <w:tr w:rsidR="00981E4B"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40-44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5</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8</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16</w:t>
            </w:r>
          </w:p>
        </w:tc>
      </w:tr>
      <w:tr w:rsidR="009F20EC"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45-49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7</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4</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20</w:t>
            </w:r>
          </w:p>
        </w:tc>
      </w:tr>
      <w:tr w:rsidR="00981E4B"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50-54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15</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20</w:t>
            </w:r>
          </w:p>
        </w:tc>
      </w:tr>
      <w:tr w:rsidR="009F20EC"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55-59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23</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28</w:t>
            </w:r>
          </w:p>
        </w:tc>
      </w:tr>
      <w:tr w:rsidR="00981E4B"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60-64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28</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8</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39</w:t>
            </w:r>
          </w:p>
        </w:tc>
      </w:tr>
      <w:tr w:rsidR="009F20EC"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65-69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26</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4</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32</w:t>
            </w:r>
          </w:p>
        </w:tc>
      </w:tr>
      <w:tr w:rsidR="00981E4B"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70-74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5</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25</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32</w:t>
            </w:r>
          </w:p>
        </w:tc>
      </w:tr>
      <w:tr w:rsidR="009F20EC"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75-79</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0</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25</w:t>
            </w:r>
          </w:p>
        </w:tc>
      </w:tr>
      <w:tr w:rsidR="00981E4B"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rsidR="009F20EC" w:rsidRDefault="009F20EC">
            <w:pPr>
              <w:rPr>
                <w:rFonts w:eastAsia="Times New Roman"/>
                <w:sz w:val="24"/>
                <w:szCs w:val="24"/>
              </w:rPr>
            </w:pPr>
            <w:r>
              <w:rPr>
                <w:rFonts w:eastAsia="Times New Roman"/>
              </w:rPr>
              <w:t>80-84</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16</w:t>
            </w:r>
          </w:p>
        </w:tc>
        <w:tc>
          <w:tcPr>
            <w:tcW w:w="1870"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7</w:t>
            </w:r>
          </w:p>
        </w:tc>
        <w:tc>
          <w:tcPr>
            <w:tcW w:w="1464" w:type="dxa"/>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26</w:t>
            </w:r>
          </w:p>
        </w:tc>
      </w:tr>
      <w:tr w:rsidR="009F20EC"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Borders>
              <w:bottom w:val="single" w:sz="2" w:space="0" w:color="auto"/>
            </w:tcBorders>
            <w:tcMar>
              <w:top w:w="57" w:type="dxa"/>
              <w:left w:w="57" w:type="dxa"/>
              <w:bottom w:w="57" w:type="dxa"/>
              <w:right w:w="57" w:type="dxa"/>
            </w:tcMar>
            <w:hideMark/>
          </w:tcPr>
          <w:p w:rsidR="009F20EC" w:rsidRDefault="009F20EC">
            <w:pPr>
              <w:rPr>
                <w:rFonts w:eastAsia="Times New Roman"/>
                <w:sz w:val="24"/>
                <w:szCs w:val="24"/>
              </w:rPr>
            </w:pPr>
            <w:r>
              <w:rPr>
                <w:rFonts w:eastAsia="Times New Roman"/>
              </w:rPr>
              <w:t>85+</w:t>
            </w:r>
          </w:p>
        </w:tc>
        <w:tc>
          <w:tcPr>
            <w:tcW w:w="1870" w:type="dxa"/>
            <w:tcBorders>
              <w:bottom w:val="single" w:sz="2" w:space="0" w:color="auto"/>
            </w:tcBorders>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0</w:t>
            </w:r>
          </w:p>
        </w:tc>
        <w:tc>
          <w:tcPr>
            <w:tcW w:w="1870" w:type="dxa"/>
            <w:tcBorders>
              <w:bottom w:val="single" w:sz="2" w:space="0" w:color="auto"/>
            </w:tcBorders>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38</w:t>
            </w:r>
          </w:p>
        </w:tc>
        <w:tc>
          <w:tcPr>
            <w:tcW w:w="1870" w:type="dxa"/>
            <w:tcBorders>
              <w:bottom w:val="single" w:sz="2" w:space="0" w:color="auto"/>
            </w:tcBorders>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5</w:t>
            </w:r>
          </w:p>
        </w:tc>
        <w:tc>
          <w:tcPr>
            <w:tcW w:w="1464" w:type="dxa"/>
            <w:tcBorders>
              <w:bottom w:val="single" w:sz="2" w:space="0" w:color="auto"/>
            </w:tcBorders>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43</w:t>
            </w:r>
          </w:p>
        </w:tc>
      </w:tr>
      <w:tr w:rsidR="00981E4B" w:rsidTr="00981E4B">
        <w:tblPrEx>
          <w:tblCellMar>
            <w:top w:w="0" w:type="dxa"/>
            <w:left w:w="108" w:type="dxa"/>
            <w:bottom w:w="0" w:type="dxa"/>
            <w:right w:w="108" w:type="dxa"/>
          </w:tblCellMar>
        </w:tblPrEx>
        <w:trPr>
          <w:divId w:val="1575092265"/>
        </w:trPr>
        <w:tc>
          <w:tcPr>
            <w:tcW w:w="3261"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pPr>
              <w:rPr>
                <w:rFonts w:eastAsia="Times New Roman"/>
                <w:sz w:val="24"/>
                <w:szCs w:val="24"/>
              </w:rPr>
            </w:pPr>
            <w:r>
              <w:rPr>
                <w:rFonts w:eastAsia="Times New Roman"/>
              </w:rPr>
              <w:t>Total</w:t>
            </w:r>
          </w:p>
        </w:tc>
        <w:tc>
          <w:tcPr>
            <w:tcW w:w="1870"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59</w:t>
            </w:r>
          </w:p>
        </w:tc>
        <w:tc>
          <w:tcPr>
            <w:tcW w:w="1870"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294</w:t>
            </w:r>
          </w:p>
        </w:tc>
        <w:tc>
          <w:tcPr>
            <w:tcW w:w="1870"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62</w:t>
            </w:r>
          </w:p>
        </w:tc>
        <w:tc>
          <w:tcPr>
            <w:tcW w:w="1464"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rsidR="009F20EC" w:rsidRDefault="009F20EC" w:rsidP="00981E4B">
            <w:pPr>
              <w:jc w:val="center"/>
              <w:rPr>
                <w:rFonts w:eastAsia="Times New Roman"/>
                <w:sz w:val="24"/>
                <w:szCs w:val="24"/>
              </w:rPr>
            </w:pPr>
            <w:r>
              <w:rPr>
                <w:rFonts w:eastAsia="Times New Roman"/>
              </w:rPr>
              <w:t>415</w:t>
            </w:r>
          </w:p>
        </w:tc>
      </w:tr>
    </w:tbl>
    <w:p w:rsidR="009F20EC" w:rsidRDefault="009F20EC" w:rsidP="00864BD7">
      <w:pPr>
        <w:pStyle w:val="CDIfootnotes"/>
        <w:divId w:val="1575092265"/>
        <w:rPr>
          <w:rFonts w:eastAsia="Times New Roman"/>
        </w:rPr>
      </w:pPr>
      <w:r>
        <w:rPr>
          <w:rFonts w:eastAsia="Times New Roman"/>
          <w:vertAlign w:val="superscript"/>
        </w:rPr>
        <w:t>*</w:t>
      </w:r>
      <w:r>
        <w:rPr>
          <w:rFonts w:eastAsia="Times New Roman"/>
        </w:rPr>
        <w:t xml:space="preserve"> Not reported is defined as not stated, blank or unknown Indigenous status.</w:t>
      </w:r>
    </w:p>
    <w:p w:rsidR="00942B78" w:rsidRDefault="00942B78" w:rsidP="00864BD7">
      <w:pPr>
        <w:pStyle w:val="CDIfootnotes"/>
        <w:divId w:val="1575092265"/>
        <w:rPr>
          <w:rFonts w:eastAsia="Times New Roman"/>
        </w:rPr>
      </w:pPr>
    </w:p>
    <w:p w:rsidR="009F20EC" w:rsidRDefault="009F20EC" w:rsidP="00942B78">
      <w:r>
        <w:t>In children aged less than 5 years, there were 65 cases of IPD reported, representing 16% (65/415) of all cases reported in this quarter. The proportion of cases notified in this age group was higher in this reporting period when compared with the previous quarter (11%; 97/873), and similar compared to the proportion reported in the fourth quarter of 2016 (14%; 54/397). Of those cases aged less than 5 years with a known serotype reported this quarter (n=39), 46% (18/39) were due to a serotype included in the 13vPCV, compared to 47% (34/72) of cases in the previous quarter and 57% (24/42) in the fourth quarter of 2016 (Figure 2). Of the 18 cases with 13vPCV serotypes in the fourth quarter of 2017, 7 cases were in fully vaccinated children aged less than 5 years and considered to be 13vPCV failures. These 13vPCV failures were due to serotypes 3 (n=6) and 19A (n=1) (Table 4). During this quarter the main serotypes affecting children aged less than 5 years were 3 (23%; 9/39) and 19A (13%; 5/39) (Table 2). Both of these serotypes are included in the 13vPCV.</w:t>
      </w:r>
    </w:p>
    <w:p w:rsidR="009F20EC" w:rsidRDefault="009F20EC" w:rsidP="00942B78">
      <w:pPr>
        <w:pStyle w:val="CDIFigures"/>
        <w:divId w:val="1287657058"/>
        <w:rPr>
          <w:rFonts w:eastAsia="Times New Roman"/>
        </w:rPr>
      </w:pPr>
      <w:r>
        <w:rPr>
          <w:rFonts w:eastAsia="Times New Roman"/>
        </w:rPr>
        <w:t>Table 4: Characteristics of 13vPCV failures in children aged less than 5 years, Australia, 1 October to 31</w:t>
      </w:r>
      <w:r w:rsidR="001131A3">
        <w:rPr>
          <w:rFonts w:eastAsia="Times New Roman"/>
        </w:rPr>
        <w:t xml:space="preserve"> </w:t>
      </w:r>
      <w:r>
        <w:rPr>
          <w:rFonts w:eastAsia="Times New Roman"/>
        </w:rPr>
        <w:t>December</w:t>
      </w:r>
      <w:r w:rsidR="001131A3">
        <w:rPr>
          <w:rFonts w:eastAsia="Times New Roman"/>
        </w:rPr>
        <w:t> </w:t>
      </w:r>
      <w:r>
        <w:rPr>
          <w:rFonts w:eastAsia="Times New Roman"/>
        </w:rPr>
        <w:t xml:space="preserve">2017 </w:t>
      </w:r>
    </w:p>
    <w:tbl>
      <w:tblPr>
        <w:tblStyle w:val="CDI-StandardTable"/>
        <w:tblW w:w="0" w:type="auto"/>
        <w:tblLook w:val="04A0" w:firstRow="1" w:lastRow="0" w:firstColumn="1" w:lastColumn="0" w:noHBand="0" w:noVBand="1"/>
        <w:tblCaption w:val="Table 4: Characteristics of 13vPCV failures in children aged less than 5 years, Australia, 1 October to 31&amp;#160;December&amp;#160;2017 "/>
        <w:tblDescription w:val="Table 4: This table shows the characteristics of 13vPCV failures in children aged less than 5 years for the current reporting quarter. This quarter 7 cases were reported in fully vaccinated children aged less than 5 years who were considered to be 13vPCV failures. Serotypes 3 and 19A were the serotypes associated with 13vPCV failures reported this quarter."/>
      </w:tblPr>
      <w:tblGrid>
        <w:gridCol w:w="753"/>
        <w:gridCol w:w="1725"/>
        <w:gridCol w:w="935"/>
        <w:gridCol w:w="3807"/>
        <w:gridCol w:w="3082"/>
      </w:tblGrid>
      <w:tr w:rsidR="009F20EC" w:rsidTr="00426891">
        <w:trPr>
          <w:cnfStyle w:val="100000000000" w:firstRow="1" w:lastRow="0" w:firstColumn="0" w:lastColumn="0" w:oddVBand="0" w:evenVBand="0" w:oddHBand="0" w:evenHBand="0" w:firstRowFirstColumn="0" w:firstRowLastColumn="0" w:lastRowFirstColumn="0" w:lastRowLastColumn="0"/>
          <w:divId w:val="1287657058"/>
          <w:tblHeader/>
        </w:trPr>
        <w:tc>
          <w:tcPr>
            <w:tcW w:w="0" w:type="auto"/>
            <w:tcMar>
              <w:top w:w="57" w:type="dxa"/>
              <w:left w:w="57" w:type="dxa"/>
              <w:bottom w:w="57" w:type="dxa"/>
              <w:right w:w="57" w:type="dxa"/>
            </w:tcMar>
            <w:hideMark/>
          </w:tcPr>
          <w:p w:rsidR="009F20EC" w:rsidRPr="00426891" w:rsidRDefault="009F20EC">
            <w:pPr>
              <w:rPr>
                <w:rFonts w:eastAsia="Times New Roman"/>
                <w:color w:val="FFFFFF" w:themeColor="background1"/>
                <w:sz w:val="24"/>
                <w:szCs w:val="24"/>
              </w:rPr>
            </w:pPr>
            <w:r w:rsidRPr="00426891">
              <w:rPr>
                <w:rFonts w:eastAsia="Times New Roman"/>
                <w:color w:val="FFFFFF" w:themeColor="background1"/>
              </w:rPr>
              <w:t>Age</w:t>
            </w:r>
          </w:p>
        </w:tc>
        <w:tc>
          <w:tcPr>
            <w:tcW w:w="0" w:type="auto"/>
            <w:tcMar>
              <w:top w:w="57" w:type="dxa"/>
              <w:left w:w="57" w:type="dxa"/>
              <w:bottom w:w="57" w:type="dxa"/>
              <w:right w:w="57" w:type="dxa"/>
            </w:tcMar>
            <w:hideMark/>
          </w:tcPr>
          <w:p w:rsidR="009F20EC" w:rsidRPr="00426891" w:rsidRDefault="009F20EC" w:rsidP="00426891">
            <w:pPr>
              <w:jc w:val="center"/>
              <w:rPr>
                <w:rFonts w:eastAsia="Times New Roman"/>
                <w:color w:val="FFFFFF" w:themeColor="background1"/>
                <w:sz w:val="24"/>
                <w:szCs w:val="24"/>
              </w:rPr>
            </w:pPr>
            <w:r w:rsidRPr="00426891">
              <w:rPr>
                <w:rFonts w:eastAsia="Times New Roman"/>
                <w:color w:val="FFFFFF" w:themeColor="background1"/>
              </w:rPr>
              <w:t>Indigenous status</w:t>
            </w:r>
          </w:p>
        </w:tc>
        <w:tc>
          <w:tcPr>
            <w:tcW w:w="0" w:type="auto"/>
            <w:tcMar>
              <w:top w:w="57" w:type="dxa"/>
              <w:left w:w="57" w:type="dxa"/>
              <w:bottom w:w="57" w:type="dxa"/>
              <w:right w:w="57" w:type="dxa"/>
            </w:tcMar>
            <w:hideMark/>
          </w:tcPr>
          <w:p w:rsidR="009F20EC" w:rsidRPr="00426891" w:rsidRDefault="009F20EC" w:rsidP="00426891">
            <w:pPr>
              <w:jc w:val="center"/>
              <w:rPr>
                <w:rFonts w:eastAsia="Times New Roman"/>
                <w:color w:val="FFFFFF" w:themeColor="background1"/>
                <w:sz w:val="24"/>
                <w:szCs w:val="24"/>
              </w:rPr>
            </w:pPr>
            <w:r w:rsidRPr="00426891">
              <w:rPr>
                <w:rFonts w:eastAsia="Times New Roman"/>
                <w:color w:val="FFFFFF" w:themeColor="background1"/>
              </w:rPr>
              <w:t>Serotype</w:t>
            </w:r>
          </w:p>
        </w:tc>
        <w:tc>
          <w:tcPr>
            <w:tcW w:w="0" w:type="auto"/>
            <w:tcMar>
              <w:top w:w="57" w:type="dxa"/>
              <w:left w:w="57" w:type="dxa"/>
              <w:bottom w:w="57" w:type="dxa"/>
              <w:right w:w="57" w:type="dxa"/>
            </w:tcMar>
            <w:hideMark/>
          </w:tcPr>
          <w:p w:rsidR="009F20EC" w:rsidRPr="00426891" w:rsidRDefault="009F20EC" w:rsidP="00426891">
            <w:pPr>
              <w:jc w:val="center"/>
              <w:rPr>
                <w:rFonts w:eastAsia="Times New Roman"/>
                <w:color w:val="FFFFFF" w:themeColor="background1"/>
                <w:sz w:val="24"/>
                <w:szCs w:val="24"/>
              </w:rPr>
            </w:pPr>
            <w:r w:rsidRPr="00426891">
              <w:rPr>
                <w:rFonts w:eastAsia="Times New Roman"/>
                <w:color w:val="FFFFFF" w:themeColor="background1"/>
              </w:rPr>
              <w:t>Clinical category</w:t>
            </w:r>
          </w:p>
        </w:tc>
        <w:tc>
          <w:tcPr>
            <w:tcW w:w="0" w:type="auto"/>
            <w:tcMar>
              <w:top w:w="57" w:type="dxa"/>
              <w:left w:w="57" w:type="dxa"/>
              <w:bottom w:w="57" w:type="dxa"/>
              <w:right w:w="57" w:type="dxa"/>
            </w:tcMar>
            <w:hideMark/>
          </w:tcPr>
          <w:p w:rsidR="009F20EC" w:rsidRPr="00426891" w:rsidRDefault="009F20EC" w:rsidP="00426891">
            <w:pPr>
              <w:jc w:val="center"/>
              <w:rPr>
                <w:rFonts w:eastAsia="Times New Roman"/>
                <w:color w:val="FFFFFF" w:themeColor="background1"/>
                <w:sz w:val="24"/>
                <w:szCs w:val="24"/>
              </w:rPr>
            </w:pPr>
            <w:r w:rsidRPr="00426891">
              <w:rPr>
                <w:rFonts w:eastAsia="Times New Roman"/>
                <w:color w:val="FFFFFF" w:themeColor="background1"/>
              </w:rPr>
              <w:t>Risk factor(s)</w:t>
            </w:r>
          </w:p>
        </w:tc>
      </w:tr>
      <w:tr w:rsidR="009F20EC" w:rsidTr="00426891">
        <w:tblPrEx>
          <w:tblCellMar>
            <w:top w:w="0" w:type="dxa"/>
            <w:left w:w="108" w:type="dxa"/>
            <w:bottom w:w="0" w:type="dxa"/>
            <w:right w:w="108" w:type="dxa"/>
          </w:tblCellMar>
        </w:tblPrEx>
        <w:trPr>
          <w:divId w:val="1287657058"/>
        </w:trPr>
        <w:tc>
          <w:tcPr>
            <w:tcW w:w="0" w:type="auto"/>
            <w:tcMar>
              <w:top w:w="57" w:type="dxa"/>
              <w:left w:w="57" w:type="dxa"/>
              <w:bottom w:w="57" w:type="dxa"/>
              <w:right w:w="57" w:type="dxa"/>
            </w:tcMar>
            <w:hideMark/>
          </w:tcPr>
          <w:p w:rsidR="009F20EC" w:rsidRDefault="009F20EC">
            <w:pPr>
              <w:rPr>
                <w:rFonts w:eastAsia="Times New Roman"/>
                <w:sz w:val="24"/>
                <w:szCs w:val="24"/>
              </w:rPr>
            </w:pPr>
            <w:r>
              <w:rPr>
                <w:rFonts w:eastAsia="Times New Roman"/>
              </w:rPr>
              <w:t>1 year</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Pneumonia and other (pleural effusion)</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No data available</w:t>
            </w:r>
          </w:p>
        </w:tc>
      </w:tr>
      <w:tr w:rsidR="009F20EC" w:rsidTr="0042689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287657058"/>
        </w:trPr>
        <w:tc>
          <w:tcPr>
            <w:tcW w:w="0" w:type="auto"/>
            <w:tcMar>
              <w:top w:w="57" w:type="dxa"/>
              <w:left w:w="57" w:type="dxa"/>
              <w:bottom w:w="57" w:type="dxa"/>
              <w:right w:w="57" w:type="dxa"/>
            </w:tcMar>
            <w:hideMark/>
          </w:tcPr>
          <w:p w:rsidR="009F20EC" w:rsidRDefault="009F20EC">
            <w:pPr>
              <w:rPr>
                <w:rFonts w:eastAsia="Times New Roman"/>
                <w:sz w:val="24"/>
                <w:szCs w:val="24"/>
              </w:rPr>
            </w:pPr>
            <w:r>
              <w:rPr>
                <w:rFonts w:eastAsia="Times New Roman"/>
              </w:rPr>
              <w:t>1 year</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19A</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Other sterile site</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No data available</w:t>
            </w:r>
          </w:p>
        </w:tc>
      </w:tr>
      <w:tr w:rsidR="009F20EC" w:rsidTr="00426891">
        <w:tblPrEx>
          <w:tblCellMar>
            <w:top w:w="0" w:type="dxa"/>
            <w:left w:w="108" w:type="dxa"/>
            <w:bottom w:w="0" w:type="dxa"/>
            <w:right w:w="108" w:type="dxa"/>
          </w:tblCellMar>
        </w:tblPrEx>
        <w:trPr>
          <w:divId w:val="1287657058"/>
        </w:trPr>
        <w:tc>
          <w:tcPr>
            <w:tcW w:w="0" w:type="auto"/>
            <w:tcMar>
              <w:top w:w="57" w:type="dxa"/>
              <w:left w:w="57" w:type="dxa"/>
              <w:bottom w:w="57" w:type="dxa"/>
              <w:right w:w="57" w:type="dxa"/>
            </w:tcMar>
            <w:hideMark/>
          </w:tcPr>
          <w:p w:rsidR="009F20EC" w:rsidRDefault="009F20EC">
            <w:pPr>
              <w:rPr>
                <w:rFonts w:eastAsia="Times New Roman"/>
                <w:sz w:val="24"/>
                <w:szCs w:val="24"/>
              </w:rPr>
            </w:pPr>
            <w:r>
              <w:rPr>
                <w:rFonts w:eastAsia="Times New Roman"/>
              </w:rPr>
              <w:t>1 year</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Pneumonia</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No risk factor identified</w:t>
            </w:r>
          </w:p>
        </w:tc>
      </w:tr>
      <w:tr w:rsidR="009F20EC" w:rsidTr="0042689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287657058"/>
        </w:trPr>
        <w:tc>
          <w:tcPr>
            <w:tcW w:w="0" w:type="auto"/>
            <w:tcMar>
              <w:top w:w="57" w:type="dxa"/>
              <w:left w:w="57" w:type="dxa"/>
              <w:bottom w:w="57" w:type="dxa"/>
              <w:right w:w="57" w:type="dxa"/>
            </w:tcMar>
            <w:hideMark/>
          </w:tcPr>
          <w:p w:rsidR="009F20EC" w:rsidRDefault="009F20EC">
            <w:pPr>
              <w:rPr>
                <w:rFonts w:eastAsia="Times New Roman"/>
                <w:sz w:val="24"/>
                <w:szCs w:val="24"/>
              </w:rPr>
            </w:pPr>
            <w:r>
              <w:rPr>
                <w:rFonts w:eastAsia="Times New Roman"/>
              </w:rPr>
              <w:t>3 years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Pneumonia and other (pleural empyema)</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No data available</w:t>
            </w:r>
          </w:p>
        </w:tc>
      </w:tr>
      <w:tr w:rsidR="009F20EC" w:rsidTr="00426891">
        <w:tblPrEx>
          <w:tblCellMar>
            <w:top w:w="0" w:type="dxa"/>
            <w:left w:w="108" w:type="dxa"/>
            <w:bottom w:w="0" w:type="dxa"/>
            <w:right w:w="108" w:type="dxa"/>
          </w:tblCellMar>
        </w:tblPrEx>
        <w:trPr>
          <w:divId w:val="1287657058"/>
        </w:trPr>
        <w:tc>
          <w:tcPr>
            <w:tcW w:w="0" w:type="auto"/>
            <w:tcMar>
              <w:top w:w="57" w:type="dxa"/>
              <w:left w:w="57" w:type="dxa"/>
              <w:bottom w:w="57" w:type="dxa"/>
              <w:right w:w="57" w:type="dxa"/>
            </w:tcMar>
            <w:hideMark/>
          </w:tcPr>
          <w:p w:rsidR="009F20EC" w:rsidRDefault="009F20EC">
            <w:pPr>
              <w:rPr>
                <w:rFonts w:eastAsia="Times New Roman"/>
                <w:sz w:val="24"/>
                <w:szCs w:val="24"/>
              </w:rPr>
            </w:pPr>
            <w:r>
              <w:rPr>
                <w:rFonts w:eastAsia="Times New Roman"/>
              </w:rPr>
              <w:t>3 years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Pneumonia</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Other</w:t>
            </w:r>
          </w:p>
        </w:tc>
      </w:tr>
      <w:tr w:rsidR="009F20EC" w:rsidTr="0042689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287657058"/>
        </w:trPr>
        <w:tc>
          <w:tcPr>
            <w:tcW w:w="0" w:type="auto"/>
            <w:tcMar>
              <w:top w:w="57" w:type="dxa"/>
              <w:left w:w="57" w:type="dxa"/>
              <w:bottom w:w="57" w:type="dxa"/>
              <w:right w:w="57" w:type="dxa"/>
            </w:tcMar>
            <w:hideMark/>
          </w:tcPr>
          <w:p w:rsidR="009F20EC" w:rsidRDefault="009F20EC">
            <w:pPr>
              <w:rPr>
                <w:rFonts w:eastAsia="Times New Roman"/>
                <w:sz w:val="24"/>
                <w:szCs w:val="24"/>
              </w:rPr>
            </w:pPr>
            <w:r>
              <w:rPr>
                <w:rFonts w:eastAsia="Times New Roman"/>
              </w:rPr>
              <w:t>4 years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Indigenous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Other (pleural empyema)</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Other</w:t>
            </w:r>
          </w:p>
        </w:tc>
      </w:tr>
      <w:tr w:rsidR="009F20EC" w:rsidTr="00426891">
        <w:tblPrEx>
          <w:tblCellMar>
            <w:top w:w="0" w:type="dxa"/>
            <w:left w:w="108" w:type="dxa"/>
            <w:bottom w:w="0" w:type="dxa"/>
            <w:right w:w="108" w:type="dxa"/>
          </w:tblCellMar>
        </w:tblPrEx>
        <w:trPr>
          <w:divId w:val="1287657058"/>
        </w:trPr>
        <w:tc>
          <w:tcPr>
            <w:tcW w:w="0" w:type="auto"/>
            <w:tcMar>
              <w:top w:w="57" w:type="dxa"/>
              <w:left w:w="57" w:type="dxa"/>
              <w:bottom w:w="57" w:type="dxa"/>
              <w:right w:w="57" w:type="dxa"/>
            </w:tcMar>
            <w:hideMark/>
          </w:tcPr>
          <w:p w:rsidR="009F20EC" w:rsidRDefault="009F20EC">
            <w:pPr>
              <w:rPr>
                <w:rFonts w:eastAsia="Times New Roman"/>
                <w:sz w:val="24"/>
                <w:szCs w:val="24"/>
              </w:rPr>
            </w:pPr>
            <w:r>
              <w:rPr>
                <w:rFonts w:eastAsia="Times New Roman"/>
              </w:rPr>
              <w:t>4 years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Indigenous</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Pneumonia</w:t>
            </w:r>
          </w:p>
        </w:tc>
        <w:tc>
          <w:tcPr>
            <w:tcW w:w="0" w:type="auto"/>
            <w:tcMar>
              <w:top w:w="57" w:type="dxa"/>
              <w:left w:w="57" w:type="dxa"/>
              <w:bottom w:w="57" w:type="dxa"/>
              <w:right w:w="57" w:type="dxa"/>
            </w:tcMar>
            <w:hideMark/>
          </w:tcPr>
          <w:p w:rsidR="009F20EC" w:rsidRDefault="009F20EC" w:rsidP="00426891">
            <w:pPr>
              <w:jc w:val="center"/>
              <w:rPr>
                <w:rFonts w:eastAsia="Times New Roman"/>
                <w:sz w:val="24"/>
                <w:szCs w:val="24"/>
              </w:rPr>
            </w:pPr>
            <w:r>
              <w:rPr>
                <w:rFonts w:eastAsia="Times New Roman"/>
              </w:rPr>
              <w:t>Premature (&lt;37 weeks gestation)</w:t>
            </w:r>
          </w:p>
        </w:tc>
      </w:tr>
    </w:tbl>
    <w:p w:rsidR="009F20EC" w:rsidRDefault="009F20EC" w:rsidP="009B0285">
      <w:pPr>
        <w:pStyle w:val="CDIFigures"/>
        <w:divId w:val="728723431"/>
        <w:rPr>
          <w:rFonts w:eastAsia="Times New Roman"/>
        </w:rPr>
      </w:pPr>
      <w:r>
        <w:rPr>
          <w:rFonts w:eastAsia="Times New Roman"/>
        </w:rPr>
        <w:t>Figure 2: Notifications and annual rates</w:t>
      </w:r>
      <w:r>
        <w:rPr>
          <w:rFonts w:eastAsia="Times New Roman"/>
          <w:vertAlign w:val="superscript"/>
        </w:rPr>
        <w:t>*</w:t>
      </w:r>
      <w:r>
        <w:rPr>
          <w:rFonts w:eastAsia="Times New Roman"/>
        </w:rPr>
        <w:t xml:space="preserve"> of invasive pneumococcal disease in children aged less than 5 years, Australia, 1 January 2008 to 31 December 2017, by vaccine serotype group </w:t>
      </w:r>
    </w:p>
    <w:p w:rsidR="009F20EC" w:rsidRPr="001F227B" w:rsidRDefault="009F20EC" w:rsidP="001F227B">
      <w:pPr>
        <w:pStyle w:val="NormalWeb"/>
        <w:divId w:val="477068395"/>
        <w:rPr>
          <w:rStyle w:val="CDIfootnotesChar"/>
        </w:rPr>
      </w:pPr>
      <w:r>
        <w:rPr>
          <w:noProof/>
        </w:rPr>
        <w:drawing>
          <wp:inline distT="0" distB="0" distL="0" distR="0" wp14:anchorId="3FABAEE6" wp14:editId="3861805A">
            <wp:extent cx="6660000" cy="4146584"/>
            <wp:effectExtent l="0" t="0" r="7620" b="6350"/>
            <wp:docPr id="2" name="Picture 2" descr="Figure 2 -This figure shows all notified cases of IPD in children aged less than 5 years in Australia between 2007 and 2017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7 to 2011, disease caused by the six additional serotypes targeted by the 13vPCV increased steadily, but have since fallen since the 13vPCV replaced the 7vPCV in the universal childhood immunisation program in mid-2011." title="Figure 2: Notifications and annual rates* of invasive pneumococcal disease in children aged less than 5 years, Australia, 1 January 2008 to 31 December 2017, by vaccine serotyp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is figure shows all notified cases of IPD in children aged less than 5 years in Australia between 2007 and 2017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7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4146584"/>
                    </a:xfrm>
                    <a:prstGeom prst="rect">
                      <a:avLst/>
                    </a:prstGeom>
                    <a:noFill/>
                    <a:ln>
                      <a:noFill/>
                    </a:ln>
                  </pic:spPr>
                </pic:pic>
              </a:graphicData>
            </a:graphic>
          </wp:inline>
        </w:drawing>
      </w:r>
      <w:r w:rsidRPr="001F227B">
        <w:rPr>
          <w:rStyle w:val="CDIfootnotesChar"/>
        </w:rPr>
        <w:t>* Annual rates are shown on quarter 2.</w:t>
      </w:r>
    </w:p>
    <w:p w:rsidR="009F20EC" w:rsidRDefault="009F20EC" w:rsidP="009B0285">
      <w:r>
        <w:t>Among Indigenous Australians aged 50 years and over, there were 20 cases of IPD reported this quarter. Of those cases with a reported serotype (n=19), 9 (47%) were due to a serotype included in the 23vPPV, and overall there was no particular serotype dominant (Figure 3). The number of notified cases of IPD in this population group was lower than the number of cases reported in the previous quarter (n=33), but higher than the number reported in the fourth quarter of 2016 (n=14).</w:t>
      </w:r>
    </w:p>
    <w:p w:rsidR="009F20EC" w:rsidRDefault="009F20EC" w:rsidP="009B0285">
      <w:pPr>
        <w:pStyle w:val="CDIFigures"/>
        <w:divId w:val="1245527073"/>
        <w:rPr>
          <w:rFonts w:eastAsia="Times New Roman"/>
        </w:rPr>
      </w:pPr>
      <w:r>
        <w:rPr>
          <w:rFonts w:eastAsia="Times New Roman"/>
        </w:rPr>
        <w:t>Figure 3: Notifications and annual rates</w:t>
      </w:r>
      <w:r>
        <w:rPr>
          <w:rFonts w:eastAsia="Times New Roman"/>
          <w:vertAlign w:val="superscript"/>
        </w:rPr>
        <w:t>*</w:t>
      </w:r>
      <w:r>
        <w:rPr>
          <w:rFonts w:eastAsia="Times New Roman"/>
        </w:rPr>
        <w:t xml:space="preserve"> of all invasive pneumococcal disease in Indigenous Australians aged 50 years or over, Australia, 1 January 2008 to 31 December 2017, by vaccine serotype group </w:t>
      </w:r>
    </w:p>
    <w:p w:rsidR="009F20EC" w:rsidRDefault="009F20EC">
      <w:pPr>
        <w:divId w:val="1169711450"/>
        <w:rPr>
          <w:rFonts w:eastAsia="Times New Roman"/>
        </w:rPr>
      </w:pPr>
      <w:r>
        <w:rPr>
          <w:rFonts w:eastAsia="Times New Roman"/>
          <w:noProof/>
        </w:rPr>
        <w:drawing>
          <wp:inline distT="0" distB="0" distL="0" distR="0" wp14:anchorId="0F85CB86" wp14:editId="1ADD8A74">
            <wp:extent cx="6660000" cy="3724642"/>
            <wp:effectExtent l="0" t="0" r="7620" b="9525"/>
            <wp:docPr id="3" name="Picture 3" descr="Figure 3 - This figure shows all notified cases of IPD in Indigenous Australians aged 50 years or older in Australia between 2007 and 2017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title="Figure 3: Notifications and annual rates* of all invasive pneumococcal disease in Indigenous Australians aged 50 years or over, Australia, 1 January 2008 to 31 December 2017, by vaccine serotyp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7 and 2017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0000" cy="3724642"/>
                    </a:xfrm>
                    <a:prstGeom prst="rect">
                      <a:avLst/>
                    </a:prstGeom>
                    <a:noFill/>
                    <a:ln>
                      <a:noFill/>
                    </a:ln>
                  </pic:spPr>
                </pic:pic>
              </a:graphicData>
            </a:graphic>
          </wp:inline>
        </w:drawing>
      </w:r>
    </w:p>
    <w:p w:rsidR="009F20EC" w:rsidRDefault="009F20EC" w:rsidP="009B0285">
      <w:pPr>
        <w:pStyle w:val="CDIfootnotes"/>
        <w:divId w:val="1878930265"/>
        <w:rPr>
          <w:rFonts w:eastAsia="Times New Roman"/>
        </w:rPr>
      </w:pPr>
      <w:r>
        <w:rPr>
          <w:rFonts w:eastAsia="Times New Roman"/>
          <w:vertAlign w:val="superscript"/>
        </w:rPr>
        <w:t>*</w:t>
      </w:r>
      <w:r>
        <w:rPr>
          <w:rFonts w:eastAsia="Times New Roman"/>
        </w:rPr>
        <w:t xml:space="preserve"> Annual rates are shown on quarter 2.</w:t>
      </w:r>
      <w:r w:rsidR="000506A8">
        <w:rPr>
          <w:rFonts w:eastAsia="Times New Roman"/>
        </w:rPr>
        <w:br/>
      </w:r>
    </w:p>
    <w:p w:rsidR="009F20EC" w:rsidRDefault="009F20EC" w:rsidP="009B0285">
      <w:r>
        <w:t xml:space="preserve">Among non-Indigenous Australians aged 65 years and over there were 147 cases of IPD reported this quarter. The number of notified cases of IPD in this population group were 56% lower compared with the number of cases reported in the previous quarter (n=341) and similar to the number reported in the fourth quarter of 2016 (n=142). Of those cases with a reported serotype (n=140), almost 60% (83/140) were due to a serotype included in the 23vPPV (Figure 4), which was less than the proportion in the previous quarter (62%; 198/319) and also the fourth quarter of 2016 (63%; 86/137). For this quarter, serotypes 3 (n=14), 22F (n=14) and 23A (n=12) were the most common serotypes for this population group. All of these serotypes, except 23A, are included in the 23vPPV. </w:t>
      </w:r>
    </w:p>
    <w:p w:rsidR="009F20EC" w:rsidRDefault="009F20EC" w:rsidP="009B0285">
      <w:r>
        <w:t xml:space="preserve">During this quarter, there were 27 deaths attributed to a variety of IPD serotypes, with serotypes 22F (n=4) and 3 (n=3) being the most common. Almost all of the reported deaths (85%; n=23) occurred in non-Indigenous Australians. The median age of those cases reported to have died this quarter was 73 years (range 0 to 96 years). </w:t>
      </w:r>
    </w:p>
    <w:p w:rsidR="009F20EC" w:rsidRDefault="009F20EC">
      <w:pPr>
        <w:pStyle w:val="Heading1"/>
        <w:rPr>
          <w:rFonts w:eastAsia="Times New Roman"/>
        </w:rPr>
      </w:pPr>
      <w:r>
        <w:rPr>
          <w:rFonts w:eastAsia="Times New Roman"/>
        </w:rPr>
        <w:t xml:space="preserve">Notes </w:t>
      </w:r>
    </w:p>
    <w:p w:rsidR="009F20EC" w:rsidRDefault="009F20EC" w:rsidP="009B0285">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DF524C">
        <w:rPr>
          <w:rStyle w:val="Emphasis"/>
          <w:b w:val="0"/>
        </w:rPr>
        <w:t>Communicable Diseases Intelligence</w:t>
      </w:r>
      <w:r w:rsidRPr="00DF524C">
        <w:rPr>
          <w:b/>
        </w:rPr>
        <w:t>.</w:t>
      </w:r>
      <w:r>
        <w:t xml:space="preserve"> </w:t>
      </w:r>
    </w:p>
    <w:p w:rsidR="009F20EC" w:rsidRDefault="009F20EC" w:rsidP="009B0285">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Immunise Australia Program website (www.immunise.health.gov.au). </w:t>
      </w:r>
    </w:p>
    <w:p w:rsidR="009F20EC" w:rsidRDefault="009F20EC" w:rsidP="009B0285">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rsidR="009F20EC" w:rsidRDefault="009F20EC" w:rsidP="009B0285">
      <w:r>
        <w:t>There are 3 pneumococcal vaccines available in Australia, each targeting multiple serotypes (Table 5). Note that in this report serotype analysis is generally grouped according to vaccine composition.</w:t>
      </w:r>
    </w:p>
    <w:p w:rsidR="009F20EC" w:rsidRDefault="009F20EC" w:rsidP="009B0285">
      <w:pPr>
        <w:pStyle w:val="CDIFigures"/>
        <w:divId w:val="2042126822"/>
        <w:rPr>
          <w:rFonts w:eastAsia="Times New Roman"/>
        </w:rPr>
      </w:pPr>
      <w:r>
        <w:rPr>
          <w:rFonts w:eastAsia="Times New Roman"/>
        </w:rPr>
        <w:t>Figure 4: Notifications and annual rates</w:t>
      </w:r>
      <w:r>
        <w:rPr>
          <w:rFonts w:eastAsia="Times New Roman"/>
          <w:vertAlign w:val="superscript"/>
        </w:rPr>
        <w:t>*</w:t>
      </w:r>
      <w:r>
        <w:rPr>
          <w:rFonts w:eastAsia="Times New Roman"/>
        </w:rPr>
        <w:t xml:space="preserve"> of all invasive pneumococcal disease in non-indigenous Australians</w:t>
      </w:r>
      <w:r>
        <w:rPr>
          <w:rFonts w:eastAsia="Times New Roman"/>
          <w:vertAlign w:val="superscript"/>
        </w:rPr>
        <w:t>#</w:t>
      </w:r>
      <w:r>
        <w:rPr>
          <w:rFonts w:eastAsia="Times New Roman"/>
        </w:rPr>
        <w:t xml:space="preserve"> aged 65 years or over, Australia, 1 January 2008 to 31 December 2017, by vaccine serotype group </w:t>
      </w:r>
    </w:p>
    <w:p w:rsidR="009F20EC" w:rsidRDefault="009F20EC">
      <w:pPr>
        <w:pStyle w:val="NormalWeb"/>
      </w:pPr>
      <w:r>
        <w:rPr>
          <w:noProof/>
        </w:rPr>
        <w:drawing>
          <wp:inline distT="0" distB="0" distL="0" distR="0" wp14:anchorId="40155583" wp14:editId="0D7E6679">
            <wp:extent cx="6660000" cy="3924287"/>
            <wp:effectExtent l="0" t="0" r="7620" b="635"/>
            <wp:docPr id="4" name="Picture 4" descr="Figure 4 - This figure shows all notified cases of IPD in non-Indigenous Australians aged 65 years or older in Australia between 2007 and 2017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title="Figure 4: Notifications and annual rates* of all invasive pneumococcal disease in non-indigenous Australians# aged 65 years or over, Australia, 1 January 2008 to 31 December 2017, by vaccine serotyp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7 and 2017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000" cy="3924287"/>
                    </a:xfrm>
                    <a:prstGeom prst="rect">
                      <a:avLst/>
                    </a:prstGeom>
                    <a:noFill/>
                    <a:ln>
                      <a:noFill/>
                    </a:ln>
                  </pic:spPr>
                </pic:pic>
              </a:graphicData>
            </a:graphic>
          </wp:inline>
        </w:drawing>
      </w:r>
    </w:p>
    <w:p w:rsidR="009F20EC" w:rsidRDefault="009F20EC" w:rsidP="009B0285">
      <w:pPr>
        <w:pStyle w:val="CDIfootnotes"/>
      </w:pPr>
      <w:r>
        <w:rPr>
          <w:vertAlign w:val="superscript"/>
        </w:rPr>
        <w:t>*</w:t>
      </w:r>
      <w:r>
        <w:t xml:space="preserve"> Annual rates are shown on quarter 2.</w:t>
      </w:r>
      <w:r>
        <w:br/>
      </w:r>
      <w:r>
        <w:rPr>
          <w:vertAlign w:val="superscript"/>
        </w:rPr>
        <w:t>#</w:t>
      </w:r>
      <w:r>
        <w:t xml:space="preserve"> Non-Indigenous Australians includes cases reported with as non-Indigenous, not stated, blank or unknown.</w:t>
      </w:r>
    </w:p>
    <w:p w:rsidR="00232FFB" w:rsidRDefault="00232FFB">
      <w:pPr>
        <w:rPr>
          <w:rFonts w:eastAsia="Times New Roman"/>
          <w:b/>
        </w:rPr>
      </w:pPr>
      <w:r>
        <w:rPr>
          <w:rFonts w:eastAsia="Times New Roman"/>
        </w:rPr>
        <w:br w:type="page"/>
      </w:r>
    </w:p>
    <w:p w:rsidR="009F20EC" w:rsidRDefault="009F20EC" w:rsidP="009B0285">
      <w:pPr>
        <w:pStyle w:val="CDIFigures"/>
        <w:divId w:val="644168040"/>
        <w:rPr>
          <w:rFonts w:eastAsia="Times New Roman"/>
        </w:rPr>
      </w:pPr>
      <w:r>
        <w:rPr>
          <w:rFonts w:eastAsia="Times New Roman"/>
        </w:rPr>
        <w:t xml:space="preserve">Table 5: Streptococcus </w:t>
      </w:r>
      <w:proofErr w:type="spellStart"/>
      <w:r>
        <w:rPr>
          <w:rFonts w:eastAsia="Times New Roman"/>
        </w:rPr>
        <w:t>pneumoniae</w:t>
      </w:r>
      <w:proofErr w:type="spellEnd"/>
      <w:r>
        <w:rPr>
          <w:rFonts w:eastAsia="Times New Roman"/>
        </w:rPr>
        <w:t xml:space="preserve"> serotypes targeted by pneumococcal vaccines </w:t>
      </w:r>
    </w:p>
    <w:tbl>
      <w:tblPr>
        <w:tblStyle w:val="CDI-StandardTable"/>
        <w:tblW w:w="0" w:type="auto"/>
        <w:tblLook w:val="04A0" w:firstRow="1" w:lastRow="0" w:firstColumn="1" w:lastColumn="0" w:noHBand="0" w:noVBand="1"/>
        <w:tblCaption w:val="Table 5: Streptococcus pneumoniae serotypes targeted by pneumococcal vaccines "/>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149"/>
        <w:gridCol w:w="2260"/>
        <w:gridCol w:w="2308"/>
        <w:gridCol w:w="2308"/>
        <w:gridCol w:w="2441"/>
      </w:tblGrid>
      <w:tr w:rsidR="009F20EC" w:rsidTr="00232FFB">
        <w:trPr>
          <w:cnfStyle w:val="100000000000" w:firstRow="1" w:lastRow="0" w:firstColumn="0" w:lastColumn="0" w:oddVBand="0" w:evenVBand="0" w:oddHBand="0" w:evenHBand="0" w:firstRowFirstColumn="0" w:firstRowLastColumn="0" w:lastRowFirstColumn="0" w:lastRowLastColumn="0"/>
          <w:divId w:val="644168040"/>
          <w:tblHeader/>
        </w:trPr>
        <w:tc>
          <w:tcPr>
            <w:tcW w:w="0" w:type="auto"/>
            <w:hideMark/>
          </w:tcPr>
          <w:p w:rsidR="009F20EC" w:rsidRPr="00232FFB" w:rsidRDefault="009F20EC">
            <w:pPr>
              <w:rPr>
                <w:rFonts w:eastAsia="Times New Roman"/>
                <w:color w:val="FFFFFF" w:themeColor="background1"/>
                <w:sz w:val="24"/>
                <w:szCs w:val="24"/>
              </w:rPr>
            </w:pPr>
            <w:r w:rsidRPr="00232FFB">
              <w:rPr>
                <w:rFonts w:eastAsia="Times New Roman"/>
                <w:color w:val="FFFFFF" w:themeColor="background1"/>
              </w:rPr>
              <w:t>Serotypes</w:t>
            </w:r>
          </w:p>
        </w:tc>
        <w:tc>
          <w:tcPr>
            <w:tcW w:w="0" w:type="auto"/>
            <w:hideMark/>
          </w:tcPr>
          <w:p w:rsidR="009F20EC" w:rsidRPr="00232FFB" w:rsidRDefault="009F20EC" w:rsidP="00232FFB">
            <w:pPr>
              <w:jc w:val="center"/>
              <w:rPr>
                <w:rFonts w:eastAsia="Times New Roman"/>
                <w:color w:val="FFFFFF" w:themeColor="background1"/>
                <w:sz w:val="24"/>
                <w:szCs w:val="24"/>
              </w:rPr>
            </w:pPr>
            <w:r w:rsidRPr="00232FFB">
              <w:rPr>
                <w:rFonts w:eastAsia="Times New Roman"/>
                <w:color w:val="FFFFFF" w:themeColor="background1"/>
              </w:rPr>
              <w:t>7-valent pneumococcal conjugate vaccine (7vPCV)</w:t>
            </w:r>
          </w:p>
        </w:tc>
        <w:tc>
          <w:tcPr>
            <w:tcW w:w="0" w:type="auto"/>
            <w:hideMark/>
          </w:tcPr>
          <w:p w:rsidR="009F20EC" w:rsidRPr="00232FFB" w:rsidRDefault="009F20EC" w:rsidP="00232FFB">
            <w:pPr>
              <w:jc w:val="center"/>
              <w:rPr>
                <w:rFonts w:eastAsia="Times New Roman"/>
                <w:color w:val="FFFFFF" w:themeColor="background1"/>
                <w:sz w:val="24"/>
                <w:szCs w:val="24"/>
              </w:rPr>
            </w:pPr>
            <w:r w:rsidRPr="00232FFB">
              <w:rPr>
                <w:rFonts w:eastAsia="Times New Roman"/>
                <w:color w:val="FFFFFF" w:themeColor="background1"/>
              </w:rPr>
              <w:t>10-valent pneumococcal conjugate vaccine (10vPCV)</w:t>
            </w:r>
          </w:p>
        </w:tc>
        <w:tc>
          <w:tcPr>
            <w:tcW w:w="0" w:type="auto"/>
            <w:hideMark/>
          </w:tcPr>
          <w:p w:rsidR="009F20EC" w:rsidRPr="00232FFB" w:rsidRDefault="009F20EC" w:rsidP="00232FFB">
            <w:pPr>
              <w:jc w:val="center"/>
              <w:rPr>
                <w:rFonts w:eastAsia="Times New Roman"/>
                <w:color w:val="FFFFFF" w:themeColor="background1"/>
                <w:sz w:val="24"/>
                <w:szCs w:val="24"/>
              </w:rPr>
            </w:pPr>
            <w:r w:rsidRPr="00232FFB">
              <w:rPr>
                <w:rFonts w:eastAsia="Times New Roman"/>
                <w:color w:val="FFFFFF" w:themeColor="background1"/>
              </w:rPr>
              <w:t>13-valent pneumococcal conjugate vaccine (13vPCV)</w:t>
            </w:r>
          </w:p>
        </w:tc>
        <w:tc>
          <w:tcPr>
            <w:tcW w:w="0" w:type="auto"/>
            <w:hideMark/>
          </w:tcPr>
          <w:p w:rsidR="009F20EC" w:rsidRPr="00232FFB" w:rsidRDefault="009F20EC" w:rsidP="00232FFB">
            <w:pPr>
              <w:jc w:val="center"/>
              <w:rPr>
                <w:rFonts w:eastAsia="Times New Roman"/>
                <w:color w:val="FFFFFF" w:themeColor="background1"/>
                <w:sz w:val="24"/>
                <w:szCs w:val="24"/>
              </w:rPr>
            </w:pPr>
            <w:r w:rsidRPr="00232FFB">
              <w:rPr>
                <w:rFonts w:eastAsia="Times New Roman"/>
                <w:color w:val="FFFFFF" w:themeColor="background1"/>
              </w:rPr>
              <w:t>23-valent pneumococcal polysaccharide vaccine (23vPPV)</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1</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2</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3</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4</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5</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6A</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9F20EC" w:rsidP="00232FFB">
            <w:pPr>
              <w:jc w:val="center"/>
              <w:rPr>
                <w:rFonts w:eastAsia="Times New Roman"/>
                <w:sz w:val="24"/>
                <w:szCs w:val="24"/>
              </w:rPr>
            </w:pP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6B</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7F</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8</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9N</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9V</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10A</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11A</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12F</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14</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15B</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17F</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18C</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19A</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19F</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20</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22F</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divId w:val="644168040"/>
        </w:trPr>
        <w:tc>
          <w:tcPr>
            <w:tcW w:w="0" w:type="auto"/>
            <w:hideMark/>
          </w:tcPr>
          <w:p w:rsidR="009F20EC" w:rsidRDefault="009F20EC">
            <w:pPr>
              <w:rPr>
                <w:rFonts w:eastAsia="Times New Roman"/>
                <w:sz w:val="24"/>
                <w:szCs w:val="24"/>
              </w:rPr>
            </w:pPr>
            <w:r>
              <w:rPr>
                <w:rFonts w:eastAsia="Times New Roman"/>
              </w:rPr>
              <w:t>23F</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c>
          <w:tcPr>
            <w:tcW w:w="0" w:type="auto"/>
            <w:hideMark/>
          </w:tcPr>
          <w:p w:rsidR="009F20EC" w:rsidRDefault="00232FFB" w:rsidP="00232FFB">
            <w:pPr>
              <w:jc w:val="center"/>
              <w:rPr>
                <w:rFonts w:eastAsia="Times New Roman"/>
                <w:sz w:val="24"/>
                <w:szCs w:val="24"/>
              </w:rPr>
            </w:pPr>
            <w:r>
              <w:rPr>
                <w:rFonts w:eastAsia="Times New Roman"/>
              </w:rPr>
              <w:t>*</w:t>
            </w:r>
          </w:p>
        </w:tc>
      </w:tr>
      <w:tr w:rsidR="009F20EC"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rsidR="009F20EC" w:rsidRDefault="009F20EC">
            <w:pPr>
              <w:rPr>
                <w:rFonts w:eastAsia="Times New Roman"/>
                <w:sz w:val="24"/>
                <w:szCs w:val="24"/>
              </w:rPr>
            </w:pPr>
            <w:r>
              <w:rPr>
                <w:rFonts w:eastAsia="Times New Roman"/>
              </w:rPr>
              <w:t>33F</w:t>
            </w: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9F20EC" w:rsidP="00232FFB">
            <w:pPr>
              <w:jc w:val="center"/>
              <w:rPr>
                <w:rFonts w:eastAsia="Times New Roman"/>
                <w:sz w:val="24"/>
                <w:szCs w:val="24"/>
              </w:rPr>
            </w:pPr>
          </w:p>
        </w:tc>
        <w:tc>
          <w:tcPr>
            <w:tcW w:w="0" w:type="auto"/>
            <w:hideMark/>
          </w:tcPr>
          <w:p w:rsidR="009F20EC" w:rsidRDefault="00232FFB" w:rsidP="00232FFB">
            <w:pPr>
              <w:jc w:val="center"/>
              <w:rPr>
                <w:rFonts w:eastAsia="Times New Roman"/>
                <w:sz w:val="24"/>
                <w:szCs w:val="24"/>
              </w:rPr>
            </w:pPr>
            <w:r>
              <w:rPr>
                <w:rFonts w:eastAsia="Times New Roman"/>
              </w:rPr>
              <w:t>*</w:t>
            </w:r>
          </w:p>
        </w:tc>
      </w:tr>
    </w:tbl>
    <w:p w:rsidR="009F20EC" w:rsidRDefault="009F20EC" w:rsidP="00EB5EE0">
      <w:pPr>
        <w:pStyle w:val="CDIfootnotes"/>
        <w:divId w:val="1489052483"/>
        <w:rPr>
          <w:rFonts w:eastAsia="Times New Roman"/>
        </w:rPr>
      </w:pPr>
      <w:r>
        <w:rPr>
          <w:rFonts w:eastAsia="Times New Roman"/>
          <w:vertAlign w:val="superscript"/>
        </w:rPr>
        <w:t>*</w:t>
      </w:r>
      <w:r>
        <w:rPr>
          <w:rFonts w:eastAsia="Times New Roman"/>
        </w:rPr>
        <w:t>Based on data extracted from the National Notifiable Diseases Surveillance System (NNDSS) on 18 April 2018. Due to the dynamic nature of the NNDSS, data on this extract is subject to retrospective revision and may vary from data reported in published NNDSS reports and reports of notification data by states and territories.</w:t>
      </w:r>
    </w:p>
    <w:p w:rsidR="000506A8" w:rsidRDefault="000506A8" w:rsidP="00EB5EE0">
      <w:pPr>
        <w:pStyle w:val="CDIfootnotes"/>
        <w:divId w:val="1489052483"/>
        <w:rPr>
          <w:rFonts w:eastAsia="Times New Roman"/>
        </w:rPr>
      </w:pPr>
    </w:p>
    <w:p w:rsidR="009F20EC" w:rsidRDefault="009F20EC" w:rsidP="000506A8">
      <w:r>
        <w:t xml:space="preserve">Follow-up of all notified cases of IPD is undertaken in all states and territories except New South Wales and Victoria who conduct targeted follow-up of notified cases aged under 5 years, and 50 years or over for enhanced data. Follow-up of notified cases of IPD in Queensland is undertaken in all areas except Metro South and Gold Coast Public Health Units who conduct targeted follow-up of notified cases for those aged under 5 years only. However, in these areas where targeted case follow-up is undertaken, some enhanced data may also be available outside these targeted age groups. </w:t>
      </w:r>
    </w:p>
    <w:p w:rsidR="009F20EC" w:rsidRDefault="009F20EC">
      <w:pPr>
        <w:pStyle w:val="Heading1"/>
        <w:rPr>
          <w:rFonts w:eastAsia="Times New Roman"/>
        </w:rPr>
      </w:pPr>
      <w:r>
        <w:rPr>
          <w:rFonts w:eastAsia="Times New Roman"/>
        </w:rPr>
        <w:t xml:space="preserve">Acknowledgements </w:t>
      </w:r>
    </w:p>
    <w:p w:rsidR="009F20EC" w:rsidRDefault="009F20EC" w:rsidP="00EB5EE0">
      <w:r>
        <w:t xml:space="preserve">Report prepared with the assistance of Mr Mark </w:t>
      </w:r>
      <w:proofErr w:type="spellStart"/>
      <w:r>
        <w:t>Trungove</w:t>
      </w:r>
      <w:proofErr w:type="spellEnd"/>
      <w:r>
        <w:t xml:space="preserve"> and Ms Rachael </w:t>
      </w:r>
      <w:proofErr w:type="spellStart"/>
      <w:r>
        <w:t>Corvisy</w:t>
      </w:r>
      <w:proofErr w:type="spellEnd"/>
      <w:r>
        <w:t xml:space="preserve"> on behalf of the Enhanced Invasive Pneumococcal Disease Surveillance Working Group. </w:t>
      </w:r>
    </w:p>
    <w:p w:rsidR="009F20EC" w:rsidRDefault="009F20EC" w:rsidP="00EB5EE0">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(Chair), </w:t>
      </w:r>
      <w:proofErr w:type="spellStart"/>
      <w:r>
        <w:t>Shahin</w:t>
      </w:r>
      <w:proofErr w:type="spellEnd"/>
      <w:r>
        <w:t xml:space="preserve"> </w:t>
      </w:r>
      <w:proofErr w:type="spellStart"/>
      <w:r>
        <w:t>Oftadeh</w:t>
      </w:r>
      <w:proofErr w:type="spellEnd"/>
      <w:r>
        <w:t xml:space="preserve"> (Centre for Infectious Diseases and Microbiology Laboratory Services, NSW Health Pathology), Sue Reid (ACT), </w:t>
      </w:r>
      <w:proofErr w:type="spellStart"/>
      <w:r>
        <w:t>Vitali</w:t>
      </w:r>
      <w:proofErr w:type="spellEnd"/>
      <w:r>
        <w:t xml:space="preserve"> </w:t>
      </w:r>
      <w:proofErr w:type="spellStart"/>
      <w:r>
        <w:t>Sintchenko</w:t>
      </w:r>
      <w:proofErr w:type="spellEnd"/>
      <w:r>
        <w:t xml:space="preserve"> (Centre for Infectious Diseases and Microbiology- Public Health, Westmead Hospital), Helen Smith (Queensland Health Forensic and Scientific Services), Janet Strachan (Vic.), Hannah Vogt (SA), Angela Wakefield (Qld). </w:t>
      </w:r>
    </w:p>
    <w:p w:rsidR="009F20EC" w:rsidRDefault="009F20EC">
      <w:pPr>
        <w:pStyle w:val="Heading1"/>
        <w:rPr>
          <w:rFonts w:eastAsia="Times New Roman"/>
        </w:rPr>
      </w:pPr>
      <w:r>
        <w:rPr>
          <w:rFonts w:eastAsia="Times New Roman"/>
        </w:rPr>
        <w:t xml:space="preserve">Author details </w:t>
      </w:r>
    </w:p>
    <w:p w:rsidR="009F20EC" w:rsidRDefault="009F20EC">
      <w:pPr>
        <w:pStyle w:val="Heading2"/>
        <w:rPr>
          <w:rFonts w:eastAsia="Times New Roman"/>
        </w:rPr>
      </w:pPr>
      <w:r>
        <w:rPr>
          <w:rFonts w:eastAsia="Times New Roman"/>
        </w:rPr>
        <w:t xml:space="preserve">Corresponding author </w:t>
      </w:r>
    </w:p>
    <w:p w:rsidR="00894617" w:rsidRPr="000606CC" w:rsidRDefault="009F20EC" w:rsidP="00894617">
      <w:pPr>
        <w:rPr>
          <w:rStyle w:val="Strong"/>
          <w:bCs w:val="0"/>
          <w:sz w:val="20"/>
        </w:rPr>
        <w:sectPr w:rsidR="00894617" w:rsidRPr="000606CC" w:rsidSect="003953A2">
          <w:headerReference w:type="default" r:id="rId16"/>
          <w:footerReference w:type="default" r:id="rId17"/>
          <w:headerReference w:type="first" r:id="rId18"/>
          <w:footerReference w:type="first" r:id="rId19"/>
          <w:pgSz w:w="11906" w:h="16838"/>
          <w:pgMar w:top="720" w:right="720" w:bottom="1134" w:left="720" w:header="624" w:footer="284" w:gutter="0"/>
          <w:cols w:space="708"/>
          <w:titlePg/>
          <w:docGrid w:linePitch="360"/>
        </w:sectPr>
      </w:pPr>
      <w:r>
        <w:t>Kate Pennington, Communicable Disease Epidemiology and Surveillance Section, Office of Health Protection, Australian Government Department of Health, GPO Box 9484, MDP 14, Canberra, ACT 2601. Telephone: +61 2 6289 2725. Facsimile: +61 2 6289 1070. Email: epi@health.gov.au</w:t>
      </w:r>
    </w:p>
    <w:p w:rsidR="00894617" w:rsidRPr="000606CC" w:rsidRDefault="00894617" w:rsidP="00894617">
      <w:pPr>
        <w:pStyle w:val="NoSpacing"/>
        <w:rPr>
          <w:rFonts w:cstheme="minorHAnsi"/>
          <w:sz w:val="18"/>
          <w:szCs w:val="18"/>
        </w:rPr>
      </w:pPr>
      <w:r w:rsidRPr="000606CC">
        <w:rPr>
          <w:rStyle w:val="Strong"/>
          <w:bCs w:val="0"/>
          <w:sz w:val="20"/>
        </w:rPr>
        <w:t>Communicable Diseases Intelligence</w:t>
      </w:r>
    </w:p>
    <w:p w:rsidR="00894617" w:rsidRPr="000606CC" w:rsidRDefault="00894617" w:rsidP="00894617">
      <w:pPr>
        <w:pStyle w:val="NoSpacing"/>
        <w:rPr>
          <w:rFonts w:cstheme="minorHAnsi"/>
          <w:sz w:val="20"/>
          <w:szCs w:val="18"/>
        </w:rPr>
      </w:pPr>
      <w:r w:rsidRPr="000606CC">
        <w:rPr>
          <w:rFonts w:cstheme="minorHAnsi"/>
          <w:sz w:val="20"/>
          <w:szCs w:val="18"/>
        </w:rPr>
        <w:t>ISSN: 2209-6051 Online</w:t>
      </w:r>
    </w:p>
    <w:p w:rsidR="00894617" w:rsidRPr="000606CC" w:rsidRDefault="00894617" w:rsidP="00894617">
      <w:pPr>
        <w:pStyle w:val="NoSpacing"/>
        <w:rPr>
          <w:rStyle w:val="URI"/>
          <w:rFonts w:cstheme="minorHAnsi"/>
          <w:sz w:val="20"/>
          <w:szCs w:val="18"/>
        </w:rPr>
      </w:pPr>
    </w:p>
    <w:p w:rsidR="00894617" w:rsidRPr="000606CC" w:rsidRDefault="00894617" w:rsidP="00894617">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894617" w:rsidRPr="000606CC" w:rsidRDefault="00894617" w:rsidP="00894617">
      <w:pPr>
        <w:pStyle w:val="NoSpacing"/>
        <w:rPr>
          <w:rStyle w:val="Strong"/>
          <w:rFonts w:cstheme="minorHAnsi"/>
          <w:sz w:val="20"/>
          <w:szCs w:val="18"/>
        </w:rPr>
      </w:pPr>
    </w:p>
    <w:p w:rsidR="00894617" w:rsidRPr="000606CC" w:rsidRDefault="00894617" w:rsidP="00894617">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894617" w:rsidRPr="000606CC" w:rsidRDefault="00894617" w:rsidP="00894617">
      <w:pPr>
        <w:pStyle w:val="NoSpacing"/>
        <w:rPr>
          <w:rFonts w:cstheme="minorHAnsi"/>
          <w:sz w:val="20"/>
          <w:szCs w:val="18"/>
        </w:rPr>
      </w:pPr>
      <w:r w:rsidRPr="000606CC">
        <w:rPr>
          <w:rStyle w:val="Strong"/>
          <w:rFonts w:cstheme="minorHAnsi"/>
          <w:sz w:val="20"/>
          <w:szCs w:val="18"/>
        </w:rPr>
        <w:t xml:space="preserve">Deputy Editor: </w:t>
      </w:r>
      <w:r w:rsidRPr="000606CC">
        <w:rPr>
          <w:rFonts w:cstheme="minorHAnsi"/>
          <w:sz w:val="20"/>
          <w:szCs w:val="18"/>
        </w:rPr>
        <w:t>Phil Wright</w:t>
      </w:r>
    </w:p>
    <w:p w:rsidR="00894617" w:rsidRPr="000606CC" w:rsidRDefault="00894617" w:rsidP="00894617">
      <w:pPr>
        <w:pStyle w:val="NoSpacing"/>
        <w:rPr>
          <w:rFonts w:cstheme="minorHAnsi"/>
          <w:sz w:val="20"/>
          <w:szCs w:val="18"/>
        </w:rPr>
      </w:pPr>
      <w:r w:rsidRPr="000606CC">
        <w:rPr>
          <w:rStyle w:val="Strong"/>
          <w:rFonts w:cstheme="minorHAnsi"/>
          <w:sz w:val="20"/>
          <w:szCs w:val="18"/>
        </w:rPr>
        <w:t xml:space="preserve">Editorial and Production Staff: </w:t>
      </w:r>
      <w:r w:rsidRPr="000606CC">
        <w:rPr>
          <w:rFonts w:cstheme="minorHAnsi"/>
          <w:sz w:val="20"/>
          <w:szCs w:val="18"/>
        </w:rPr>
        <w:t>Leroy Trapani and Kasra Yousefi</w:t>
      </w:r>
    </w:p>
    <w:p w:rsidR="00894617" w:rsidRPr="000606CC" w:rsidRDefault="00894617" w:rsidP="00894617">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Cs w:val="18"/>
        </w:rPr>
        <w:t xml:space="preserve">Mark </w:t>
      </w:r>
      <w:proofErr w:type="spellStart"/>
      <w:r w:rsidRPr="000606CC">
        <w:rPr>
          <w:rStyle w:val="nobreak"/>
          <w:rFonts w:cstheme="minorHAnsi"/>
          <w:szCs w:val="18"/>
        </w:rPr>
        <w:t>Ferson</w:t>
      </w:r>
      <w:proofErr w:type="spellEnd"/>
      <w:r w:rsidRPr="000606CC">
        <w:rPr>
          <w:rFonts w:cstheme="minorHAnsi"/>
          <w:sz w:val="20"/>
          <w:szCs w:val="18"/>
        </w:rPr>
        <w:t>, John </w:t>
      </w:r>
      <w:proofErr w:type="spellStart"/>
      <w:r w:rsidRPr="000606CC">
        <w:rPr>
          <w:rFonts w:cstheme="minorHAnsi"/>
          <w:sz w:val="20"/>
          <w:szCs w:val="18"/>
        </w:rPr>
        <w:t>Kaldor</w:t>
      </w:r>
      <w:proofErr w:type="spellEnd"/>
      <w:r w:rsidRPr="000606CC">
        <w:rPr>
          <w:rFonts w:cstheme="minorHAnsi"/>
          <w:sz w:val="20"/>
          <w:szCs w:val="18"/>
        </w:rPr>
        <w:t xml:space="preserve"> and </w:t>
      </w:r>
      <w:r w:rsidRPr="000606CC">
        <w:rPr>
          <w:rStyle w:val="nobreak"/>
          <w:rFonts w:cstheme="minorHAnsi"/>
          <w:szCs w:val="18"/>
        </w:rPr>
        <w:t>Martyn Kirk</w:t>
      </w:r>
    </w:p>
    <w:p w:rsidR="00894617" w:rsidRPr="000606CC" w:rsidRDefault="00894617" w:rsidP="00894617">
      <w:pPr>
        <w:pStyle w:val="NoSpacing"/>
        <w:rPr>
          <w:rStyle w:val="Strong"/>
          <w:rFonts w:cstheme="minorHAnsi"/>
          <w:sz w:val="20"/>
          <w:szCs w:val="18"/>
        </w:rPr>
      </w:pPr>
    </w:p>
    <w:p w:rsidR="00894617" w:rsidRPr="000606CC" w:rsidRDefault="00894617" w:rsidP="00894617">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894617" w:rsidRPr="000606CC" w:rsidRDefault="00894617" w:rsidP="00894617">
      <w:pPr>
        <w:pStyle w:val="NoSpacing"/>
        <w:rPr>
          <w:rStyle w:val="Strong"/>
          <w:rFonts w:cstheme="minorHAnsi"/>
          <w:sz w:val="20"/>
          <w:szCs w:val="18"/>
        </w:rPr>
      </w:pPr>
    </w:p>
    <w:p w:rsidR="00894617" w:rsidRPr="000606CC" w:rsidRDefault="00894617" w:rsidP="00894617">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894617" w:rsidRPr="000606CC" w:rsidRDefault="00894617" w:rsidP="00894617">
      <w:pPr>
        <w:pStyle w:val="NoSpacing"/>
        <w:rPr>
          <w:rStyle w:val="Strong"/>
          <w:rFonts w:cstheme="minorHAnsi"/>
          <w:sz w:val="20"/>
          <w:szCs w:val="18"/>
        </w:rPr>
      </w:pPr>
    </w:p>
    <w:p w:rsidR="00894617" w:rsidRPr="000606CC" w:rsidRDefault="00894617" w:rsidP="00894617">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894617" w:rsidRPr="000606CC" w:rsidRDefault="00894617" w:rsidP="00894617">
      <w:pPr>
        <w:pStyle w:val="NoSpacing"/>
        <w:rPr>
          <w:rStyle w:val="Strong"/>
          <w:rFonts w:cstheme="minorHAnsi"/>
          <w:sz w:val="20"/>
          <w:szCs w:val="18"/>
        </w:rPr>
      </w:pPr>
    </w:p>
    <w:p w:rsidR="00894617" w:rsidRPr="000606CC" w:rsidRDefault="00894617" w:rsidP="00894617">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894617" w:rsidRPr="000606CC" w:rsidRDefault="00894617" w:rsidP="00894617">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rsidR="00894617" w:rsidRPr="000606CC" w:rsidRDefault="00894617" w:rsidP="00894617">
      <w:pPr>
        <w:pStyle w:val="NoSpacing"/>
        <w:pBdr>
          <w:bottom w:val="single" w:sz="6" w:space="1" w:color="auto"/>
        </w:pBdr>
        <w:rPr>
          <w:rStyle w:val="Strong"/>
          <w:rFonts w:cstheme="minorHAnsi"/>
          <w:sz w:val="12"/>
          <w:szCs w:val="18"/>
        </w:rPr>
      </w:pPr>
    </w:p>
    <w:p w:rsidR="00894617" w:rsidRPr="000606CC" w:rsidRDefault="00894617" w:rsidP="00894617">
      <w:pPr>
        <w:pStyle w:val="NoSpacing"/>
        <w:rPr>
          <w:rFonts w:cstheme="minorHAnsi"/>
          <w:sz w:val="20"/>
          <w:szCs w:val="18"/>
        </w:rPr>
      </w:pPr>
    </w:p>
    <w:p w:rsidR="00894617" w:rsidRPr="000606CC" w:rsidRDefault="00894617" w:rsidP="00894617">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894617" w:rsidRPr="000606CC" w:rsidRDefault="00894617" w:rsidP="00894617">
      <w:pPr>
        <w:pStyle w:val="NoSpacing"/>
        <w:rPr>
          <w:rFonts w:cstheme="minorHAnsi"/>
          <w:sz w:val="20"/>
          <w:szCs w:val="18"/>
        </w:rPr>
      </w:pPr>
    </w:p>
    <w:p w:rsidR="00894617" w:rsidRPr="000606CC" w:rsidRDefault="00894617" w:rsidP="00894617">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894617" w:rsidRPr="000606CC" w:rsidRDefault="00894617" w:rsidP="00894617">
      <w:pPr>
        <w:pStyle w:val="NoSpacing"/>
        <w:rPr>
          <w:rFonts w:cstheme="minorHAnsi"/>
          <w:sz w:val="20"/>
          <w:szCs w:val="18"/>
        </w:rPr>
      </w:pPr>
      <w:r w:rsidRPr="000606CC">
        <w:rPr>
          <w:rFonts w:cstheme="minorHAnsi"/>
          <w:sz w:val="20"/>
          <w:szCs w:val="18"/>
        </w:rPr>
        <w:t>© 2019 Commonwealth of Australia as represented by the Department of Health</w:t>
      </w:r>
    </w:p>
    <w:p w:rsidR="00894617" w:rsidRPr="000606CC" w:rsidRDefault="00894617" w:rsidP="00894617">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894617" w:rsidRPr="000606CC" w:rsidRDefault="00894617" w:rsidP="00894617">
      <w:pPr>
        <w:pStyle w:val="NoSpacing"/>
        <w:rPr>
          <w:rFonts w:cstheme="minorHAnsi"/>
          <w:sz w:val="20"/>
          <w:szCs w:val="18"/>
        </w:rPr>
      </w:pPr>
    </w:p>
    <w:p w:rsidR="00894617" w:rsidRPr="000606CC" w:rsidRDefault="00894617" w:rsidP="00894617">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 xml:space="preserve">The Licence does not cover, and there is no permission given for, use of any of the following material found in this publication (if any): </w:t>
      </w:r>
    </w:p>
    <w:p w:rsidR="00894617" w:rsidRPr="000606CC" w:rsidRDefault="00894617" w:rsidP="00894617">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rPr>
        <w:t>)</w:t>
      </w:r>
      <w:r w:rsidRPr="000606CC">
        <w:rPr>
          <w:rFonts w:cstheme="minorHAnsi"/>
          <w:sz w:val="20"/>
          <w:szCs w:val="18"/>
        </w:rPr>
        <w:t xml:space="preserve">;  </w:t>
      </w:r>
    </w:p>
    <w:p w:rsidR="00894617" w:rsidRPr="000606CC" w:rsidRDefault="00894617" w:rsidP="00894617">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894617" w:rsidRPr="000606CC" w:rsidRDefault="00894617" w:rsidP="00894617">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894617" w:rsidRPr="000606CC" w:rsidRDefault="00894617" w:rsidP="00894617">
      <w:pPr>
        <w:pStyle w:val="NoSpacing"/>
        <w:numPr>
          <w:ilvl w:val="0"/>
          <w:numId w:val="6"/>
        </w:numPr>
        <w:rPr>
          <w:rFonts w:cstheme="minorHAnsi"/>
          <w:sz w:val="20"/>
          <w:szCs w:val="18"/>
        </w:rPr>
      </w:pPr>
      <w:r w:rsidRPr="000606CC">
        <w:rPr>
          <w:rFonts w:cstheme="minorHAnsi"/>
          <w:sz w:val="20"/>
          <w:szCs w:val="18"/>
        </w:rPr>
        <w:t>any signatures; and</w:t>
      </w:r>
    </w:p>
    <w:p w:rsidR="00894617" w:rsidRPr="000606CC" w:rsidRDefault="00894617" w:rsidP="00894617">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894617" w:rsidRPr="000606CC" w:rsidRDefault="00894617" w:rsidP="00894617">
      <w:pPr>
        <w:pStyle w:val="NoSpacing"/>
        <w:rPr>
          <w:rStyle w:val="Strong"/>
          <w:rFonts w:cstheme="minorHAnsi"/>
          <w:sz w:val="20"/>
          <w:szCs w:val="18"/>
        </w:rPr>
      </w:pPr>
    </w:p>
    <w:p w:rsidR="00894617" w:rsidRPr="000606CC" w:rsidRDefault="00894617" w:rsidP="00894617">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894617" w:rsidRPr="000606CC" w:rsidRDefault="00894617" w:rsidP="00894617">
      <w:pPr>
        <w:pStyle w:val="NoSpacing"/>
        <w:rPr>
          <w:rStyle w:val="Strong"/>
          <w:rFonts w:cstheme="minorHAnsi"/>
          <w:sz w:val="20"/>
          <w:szCs w:val="18"/>
        </w:rPr>
      </w:pPr>
    </w:p>
    <w:p w:rsidR="00894617" w:rsidRPr="000606CC" w:rsidRDefault="00894617" w:rsidP="00894617">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894617" w:rsidRPr="000606CC" w:rsidRDefault="00894617" w:rsidP="00894617">
      <w:pPr>
        <w:pStyle w:val="NoSpacing"/>
        <w:rPr>
          <w:rStyle w:val="URI"/>
          <w:rFonts w:cstheme="minorHAnsi"/>
          <w:sz w:val="20"/>
          <w:szCs w:val="18"/>
        </w:rPr>
      </w:pPr>
    </w:p>
    <w:p w:rsidR="00894617" w:rsidRPr="000606CC" w:rsidRDefault="00894617" w:rsidP="00894617">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rsidR="001B37B8" w:rsidRPr="00894617" w:rsidRDefault="001B37B8" w:rsidP="001B37B8">
      <w:pPr>
        <w:rPr>
          <w:rFonts w:cs="Myriad Pro"/>
          <w:color w:val="211D1E"/>
        </w:rPr>
      </w:pPr>
      <w:bookmarkStart w:id="0" w:name="_GoBack"/>
      <w:bookmarkEnd w:id="0"/>
    </w:p>
    <w:sectPr w:rsidR="001B37B8" w:rsidRPr="00894617" w:rsidSect="00894617">
      <w:headerReference w:type="first" r:id="rId28"/>
      <w:pgSz w:w="11906" w:h="16838"/>
      <w:pgMar w:top="720" w:right="720" w:bottom="1134" w:left="720"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601" w:rsidRDefault="002E4601" w:rsidP="00E54DBA">
      <w:r>
        <w:separator/>
      </w:r>
    </w:p>
    <w:p w:rsidR="002E4601" w:rsidRDefault="002E4601"/>
    <w:p w:rsidR="002E4601" w:rsidRDefault="002E4601" w:rsidP="008714B0"/>
  </w:endnote>
  <w:endnote w:type="continuationSeparator" w:id="0">
    <w:p w:rsidR="002E4601" w:rsidRDefault="002E4601" w:rsidP="00E54DBA">
      <w:r>
        <w:continuationSeparator/>
      </w:r>
    </w:p>
    <w:p w:rsidR="002E4601" w:rsidRDefault="002E4601"/>
    <w:p w:rsidR="002E4601" w:rsidRDefault="002E460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601" w:rsidRPr="0042435E" w:rsidRDefault="002E4601"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94617">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94617">
      <w:rPr>
        <w:noProof/>
        <w:sz w:val="18"/>
      </w:rPr>
      <w:t>12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155582">
      <w:rPr>
        <w:sz w:val="18"/>
      </w:rPr>
      <w:t>Commun</w:t>
    </w:r>
    <w:proofErr w:type="spellEnd"/>
    <w:r w:rsidRPr="00155582">
      <w:rPr>
        <w:sz w:val="18"/>
      </w:rPr>
      <w:t xml:space="preserve"> Dis </w:t>
    </w:r>
    <w:proofErr w:type="spellStart"/>
    <w:r w:rsidRPr="00155582">
      <w:rPr>
        <w:sz w:val="18"/>
      </w:rPr>
      <w:t>Intell</w:t>
    </w:r>
    <w:proofErr w:type="spellEnd"/>
    <w:r>
      <w:rPr>
        <w:sz w:val="18"/>
      </w:rPr>
      <w:t xml:space="preserve"> </w:t>
    </w:r>
    <w:r>
      <w:rPr>
        <w:sz w:val="18"/>
      </w:rPr>
      <w:fldChar w:fldCharType="begin"/>
    </w:r>
    <w:r>
      <w:rPr>
        <w:sz w:val="18"/>
      </w:rPr>
      <w:instrText xml:space="preserve"> DOCPROPERTY  Year  \* MERGEFORMAT </w:instrText>
    </w:r>
    <w:r>
      <w:rPr>
        <w:sz w:val="18"/>
      </w:rPr>
      <w:fldChar w:fldCharType="separate"/>
    </w:r>
    <w:r w:rsidR="00A3347C">
      <w:rPr>
        <w:sz w:val="18"/>
      </w:rPr>
      <w:t>2018</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A3347C">
      <w:rPr>
        <w:sz w:val="18"/>
      </w:rPr>
      <w:t>42</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DATE \@ "d/MM/yyyy" </w:instrText>
    </w:r>
    <w:r>
      <w:rPr>
        <w:sz w:val="18"/>
      </w:rPr>
      <w:fldChar w:fldCharType="separate"/>
    </w:r>
    <w:r w:rsidR="005D0731">
      <w:rPr>
        <w:noProof/>
        <w:sz w:val="18"/>
      </w:rPr>
      <w:t>24/01/2019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601" w:rsidRPr="00BB5378" w:rsidRDefault="002E4601"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26EFF">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26EFF">
      <w:rPr>
        <w:noProof/>
        <w:sz w:val="18"/>
      </w:rPr>
      <w:t>11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55582">
      <w:rPr>
        <w:sz w:val="18"/>
      </w:rPr>
      <w:t>Commun</w:t>
    </w:r>
    <w:proofErr w:type="spellEnd"/>
    <w:r w:rsidRPr="00155582">
      <w:rPr>
        <w:sz w:val="18"/>
      </w:rPr>
      <w:t xml:space="preserve"> Dis </w:t>
    </w:r>
    <w:proofErr w:type="spellStart"/>
    <w:r w:rsidRPr="00155582">
      <w:rPr>
        <w:sz w:val="18"/>
      </w:rPr>
      <w:t>Intell</w:t>
    </w:r>
    <w:proofErr w:type="spellEnd"/>
    <w:r>
      <w:rPr>
        <w:sz w:val="18"/>
      </w:rPr>
      <w:t xml:space="preserve"> </w:t>
    </w:r>
    <w:r>
      <w:rPr>
        <w:sz w:val="18"/>
      </w:rPr>
      <w:fldChar w:fldCharType="begin"/>
    </w:r>
    <w:r>
      <w:rPr>
        <w:sz w:val="18"/>
      </w:rPr>
      <w:instrText xml:space="preserve"> DOCPROPERTY  Year  \* MERGEFORMAT </w:instrText>
    </w:r>
    <w:r>
      <w:rPr>
        <w:sz w:val="18"/>
      </w:rPr>
      <w:fldChar w:fldCharType="separate"/>
    </w:r>
    <w:r w:rsidR="001031C1">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1031C1">
      <w:rPr>
        <w:sz w:val="18"/>
      </w:rPr>
      <w:t>43</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sidR="001031C1">
      <w:rPr>
        <w:sz w:val="18"/>
      </w:rPr>
      <w:t>1/02/2019</w:t>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617" w:rsidRPr="0042435E" w:rsidRDefault="0089461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26EFF">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26EFF">
      <w:rPr>
        <w:noProof/>
        <w:sz w:val="18"/>
      </w:rPr>
      <w:t>11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155582">
      <w:rPr>
        <w:sz w:val="18"/>
      </w:rPr>
      <w:t>Commun</w:t>
    </w:r>
    <w:proofErr w:type="spellEnd"/>
    <w:r w:rsidRPr="00155582">
      <w:rPr>
        <w:sz w:val="18"/>
      </w:rPr>
      <w:t xml:space="preserve"> Dis </w:t>
    </w:r>
    <w:proofErr w:type="spellStart"/>
    <w:r w:rsidRPr="00155582">
      <w:rPr>
        <w:sz w:val="18"/>
      </w:rPr>
      <w:t>Intell</w:t>
    </w:r>
    <w:proofErr w:type="spellEnd"/>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1/2/2019</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617" w:rsidRPr="00BB5378" w:rsidRDefault="0089461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26EFF">
      <w:rPr>
        <w:noProof/>
        <w:sz w:val="18"/>
      </w:rPr>
      <w:t>11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26EFF">
      <w:rPr>
        <w:noProof/>
        <w:sz w:val="18"/>
      </w:rPr>
      <w:t>11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55582">
      <w:rPr>
        <w:sz w:val="18"/>
      </w:rPr>
      <w:t>Commun</w:t>
    </w:r>
    <w:proofErr w:type="spellEnd"/>
    <w:r w:rsidRPr="00155582">
      <w:rPr>
        <w:sz w:val="18"/>
      </w:rPr>
      <w:t xml:space="preserve"> Dis </w:t>
    </w:r>
    <w:proofErr w:type="spellStart"/>
    <w:r w:rsidRPr="00155582">
      <w:rPr>
        <w:sz w:val="18"/>
      </w:rPr>
      <w:t>Intell</w:t>
    </w:r>
    <w:proofErr w:type="spellEnd"/>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DATE \@ "d/MM/yyyy" </w:instrText>
    </w:r>
    <w:r>
      <w:rPr>
        <w:sz w:val="18"/>
      </w:rPr>
      <w:fldChar w:fldCharType="separate"/>
    </w:r>
    <w:r w:rsidR="005D0731">
      <w:rPr>
        <w:noProof/>
        <w:sz w:val="18"/>
      </w:rPr>
      <w:t>1</w:t>
    </w:r>
    <w:r w:rsidR="005D0731">
      <w:rPr>
        <w:noProof/>
        <w:sz w:val="18"/>
      </w:rPr>
      <w:t>/0</w:t>
    </w:r>
    <w:r w:rsidR="005D0731">
      <w:rPr>
        <w:noProof/>
        <w:sz w:val="18"/>
      </w:rPr>
      <w:t>2</w:t>
    </w:r>
    <w:r w:rsidR="005D0731">
      <w:rPr>
        <w:noProof/>
        <w:sz w:val="18"/>
      </w:rPr>
      <w:t>/2019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601" w:rsidRPr="00A01436" w:rsidRDefault="002E4601" w:rsidP="00E54DBA">
      <w:pPr>
        <w:rPr>
          <w:sz w:val="2"/>
        </w:rPr>
      </w:pPr>
      <w:r w:rsidRPr="00A01436">
        <w:rPr>
          <w:sz w:val="2"/>
        </w:rPr>
        <w:separator/>
      </w:r>
    </w:p>
  </w:footnote>
  <w:footnote w:type="continuationSeparator" w:id="0">
    <w:p w:rsidR="002E4601" w:rsidRDefault="002E4601" w:rsidP="00E54DBA">
      <w:r>
        <w:continuationSeparator/>
      </w:r>
    </w:p>
    <w:p w:rsidR="002E4601" w:rsidRDefault="002E4601"/>
    <w:p w:rsidR="002E4601" w:rsidRDefault="002E4601" w:rsidP="008714B0"/>
  </w:footnote>
  <w:footnote w:type="continuationNotice" w:id="1">
    <w:p w:rsidR="002E4601" w:rsidRDefault="002E4601">
      <w:pPr>
        <w:spacing w:after="0" w:line="240" w:lineRule="auto"/>
      </w:pPr>
    </w:p>
  </w:footnote>
  <w:footnote w:id="2">
    <w:p w:rsidR="002E4601" w:rsidRDefault="002E4601" w:rsidP="00A01436">
      <w:pPr>
        <w:pStyle w:val="CDIfootnotes"/>
      </w:pPr>
      <w:r>
        <w:rPr>
          <w:rStyle w:val="FootnoteReference"/>
        </w:rPr>
        <w:footnoteRef/>
      </w:r>
      <w:r>
        <w:t xml:space="preserve"> </w:t>
      </w:r>
      <w:r w:rsidRPr="009F20EC">
        <w:t>Based on data extracted from the National Notifiable Diseases Surveillance System (NNDSS) on 18 April 2018. Due to the dynamic nature</w:t>
      </w:r>
      <w:r>
        <w:t xml:space="preserve"> of the NNDSS, data on this extract is subject to retrospective revision and may vary from data reported in published NNDSS reports and reports of notification data by states and territories.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601" w:rsidRDefault="00926EFF" w:rsidP="00252C9A">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E4601">
          <w:t>Short report</w:t>
        </w:r>
      </w:sdtContent>
    </w:sdt>
    <w:r w:rsidR="002E4601">
      <w:ptab w:relativeTo="margin" w:alignment="right" w:leader="none"/>
    </w:r>
    <w:r w:rsidR="002E4601"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617" w:rsidRDefault="00926EFF" w:rsidP="00252C9A">
    <w:pPr>
      <w:pStyle w:val="Header"/>
      <w:pBdr>
        <w:bottom w:val="single" w:sz="2" w:space="1" w:color="auto"/>
      </w:pBdr>
    </w:pPr>
    <w:sdt>
      <w:sdtPr>
        <w:alias w:val="Category"/>
        <w:tag w:val=""/>
        <w:id w:val="1729889584"/>
        <w:dataBinding w:prefixMappings="xmlns:ns0='http://purl.org/dc/elements/1.1/' xmlns:ns1='http://schemas.openxmlformats.org/package/2006/metadata/core-properties' " w:xpath="/ns1:coreProperties[1]/ns1:category[1]" w:storeItemID="{6C3C8BC8-F283-45AE-878A-BAB7291924A1}"/>
        <w:text/>
      </w:sdtPr>
      <w:sdtEndPr/>
      <w:sdtContent>
        <w:r w:rsidR="00894617">
          <w:t>Short report</w:t>
        </w:r>
      </w:sdtContent>
    </w:sdt>
    <w:r w:rsidR="00894617">
      <w:ptab w:relativeTo="margin" w:alignment="right" w:leader="none"/>
    </w:r>
    <w:r w:rsidR="00894617"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ategory"/>
      <w:tag w:val=""/>
      <w:id w:val="634300710"/>
      <w:dataBinding w:prefixMappings="xmlns:ns0='http://purl.org/dc/elements/1.1/' xmlns:ns1='http://schemas.openxmlformats.org/package/2006/metadata/core-properties' " w:xpath="/ns1:coreProperties[1]/ns1:category[1]" w:storeItemID="{6C3C8BC8-F283-45AE-878A-BAB7291924A1}"/>
      <w:text/>
    </w:sdtPr>
    <w:sdtEndPr/>
    <w:sdtContent>
      <w:p w:rsidR="00894617" w:rsidRDefault="00894617">
        <w:pPr>
          <w:pStyle w:val="Header"/>
        </w:pPr>
        <w:r>
          <w:t>Short report</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500" w:rsidRDefault="003D47EA" w:rsidP="008F3500">
    <w:pPr>
      <w:pStyle w:val="Header"/>
      <w:jc w:val="center"/>
    </w:pPr>
    <w:r w:rsidRPr="00E810C5">
      <w:rPr>
        <w:rFonts w:cs="Myriad Pro"/>
        <w:noProof/>
        <w:color w:val="211D1E"/>
        <w:sz w:val="16"/>
      </w:rPr>
      <w:drawing>
        <wp:inline distT="0" distB="0" distL="0" distR="0" wp14:anchorId="6124E674" wp14:editId="5FA9D418">
          <wp:extent cx="1804481" cy="436389"/>
          <wp:effectExtent l="0" t="0" r="5715" b="1905"/>
          <wp:docPr id="5" name="Picture 5"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attachedTemplate r:id="rId1"/>
  <w:defaultTabStop w:val="720"/>
  <w:noPunctuationKerning/>
  <w:characterSpacingControl w:val="doNotCompress"/>
  <w:savePreviewPicture/>
  <w:hdrShapeDefaults>
    <o:shapedefaults v:ext="edit" spidmax="12289"/>
  </w:hdrShapeDefaults>
  <w:footnotePr>
    <w:numFmt w:val="chicago"/>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EDC"/>
    <w:rsid w:val="00000B5B"/>
    <w:rsid w:val="00001611"/>
    <w:rsid w:val="000104A8"/>
    <w:rsid w:val="0001246E"/>
    <w:rsid w:val="000124B1"/>
    <w:rsid w:val="00016616"/>
    <w:rsid w:val="00016FE6"/>
    <w:rsid w:val="00031064"/>
    <w:rsid w:val="00032531"/>
    <w:rsid w:val="000471BF"/>
    <w:rsid w:val="000506A8"/>
    <w:rsid w:val="00052600"/>
    <w:rsid w:val="0005643C"/>
    <w:rsid w:val="000578F3"/>
    <w:rsid w:val="0006264A"/>
    <w:rsid w:val="00073D77"/>
    <w:rsid w:val="000760FB"/>
    <w:rsid w:val="00081655"/>
    <w:rsid w:val="000864E0"/>
    <w:rsid w:val="00092041"/>
    <w:rsid w:val="000969B3"/>
    <w:rsid w:val="000C609F"/>
    <w:rsid w:val="000D4B4D"/>
    <w:rsid w:val="001031C1"/>
    <w:rsid w:val="001131A3"/>
    <w:rsid w:val="00113D58"/>
    <w:rsid w:val="00113DD6"/>
    <w:rsid w:val="00144EDC"/>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6888"/>
    <w:rsid w:val="001F227B"/>
    <w:rsid w:val="002276DC"/>
    <w:rsid w:val="00227E00"/>
    <w:rsid w:val="002307CB"/>
    <w:rsid w:val="00231046"/>
    <w:rsid w:val="00232FFB"/>
    <w:rsid w:val="00242659"/>
    <w:rsid w:val="002428F7"/>
    <w:rsid w:val="0024315F"/>
    <w:rsid w:val="00252C9A"/>
    <w:rsid w:val="00256309"/>
    <w:rsid w:val="00257484"/>
    <w:rsid w:val="00260636"/>
    <w:rsid w:val="00280594"/>
    <w:rsid w:val="00281EE3"/>
    <w:rsid w:val="00284E4A"/>
    <w:rsid w:val="002A3799"/>
    <w:rsid w:val="002A3BCC"/>
    <w:rsid w:val="002A4516"/>
    <w:rsid w:val="002A569F"/>
    <w:rsid w:val="002A7066"/>
    <w:rsid w:val="002B001E"/>
    <w:rsid w:val="002B09B7"/>
    <w:rsid w:val="002C21B0"/>
    <w:rsid w:val="002E2FB3"/>
    <w:rsid w:val="002E4601"/>
    <w:rsid w:val="002F327B"/>
    <w:rsid w:val="00301626"/>
    <w:rsid w:val="00316CCD"/>
    <w:rsid w:val="00324F7E"/>
    <w:rsid w:val="003323BC"/>
    <w:rsid w:val="00346D42"/>
    <w:rsid w:val="00346E11"/>
    <w:rsid w:val="003601C0"/>
    <w:rsid w:val="003635F5"/>
    <w:rsid w:val="00372A88"/>
    <w:rsid w:val="00381A0F"/>
    <w:rsid w:val="00394594"/>
    <w:rsid w:val="003A1B3A"/>
    <w:rsid w:val="003A40F5"/>
    <w:rsid w:val="003B5B8C"/>
    <w:rsid w:val="003D020C"/>
    <w:rsid w:val="003D47EA"/>
    <w:rsid w:val="003E74EE"/>
    <w:rsid w:val="003F0552"/>
    <w:rsid w:val="003F3BC2"/>
    <w:rsid w:val="00401ED1"/>
    <w:rsid w:val="00413EE1"/>
    <w:rsid w:val="004164BB"/>
    <w:rsid w:val="00421ECE"/>
    <w:rsid w:val="0042435E"/>
    <w:rsid w:val="00425562"/>
    <w:rsid w:val="00426891"/>
    <w:rsid w:val="004315F5"/>
    <w:rsid w:val="00433456"/>
    <w:rsid w:val="00433DFA"/>
    <w:rsid w:val="00435D67"/>
    <w:rsid w:val="004441B0"/>
    <w:rsid w:val="00464A58"/>
    <w:rsid w:val="00473D2D"/>
    <w:rsid w:val="00487342"/>
    <w:rsid w:val="00491CB6"/>
    <w:rsid w:val="004A2125"/>
    <w:rsid w:val="004A38F6"/>
    <w:rsid w:val="004B4EB6"/>
    <w:rsid w:val="004C67C6"/>
    <w:rsid w:val="00510EAC"/>
    <w:rsid w:val="00542A57"/>
    <w:rsid w:val="005732C0"/>
    <w:rsid w:val="0057336D"/>
    <w:rsid w:val="0058540B"/>
    <w:rsid w:val="00587C87"/>
    <w:rsid w:val="00590B80"/>
    <w:rsid w:val="005B3134"/>
    <w:rsid w:val="005B4E61"/>
    <w:rsid w:val="005B595A"/>
    <w:rsid w:val="005B66C2"/>
    <w:rsid w:val="005D0731"/>
    <w:rsid w:val="005D2465"/>
    <w:rsid w:val="005E4229"/>
    <w:rsid w:val="005E4D7F"/>
    <w:rsid w:val="005E540E"/>
    <w:rsid w:val="005E55FB"/>
    <w:rsid w:val="005F16BB"/>
    <w:rsid w:val="005F2E8F"/>
    <w:rsid w:val="00607115"/>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D59BD"/>
    <w:rsid w:val="007E01E0"/>
    <w:rsid w:val="007F0B93"/>
    <w:rsid w:val="00811708"/>
    <w:rsid w:val="00816B90"/>
    <w:rsid w:val="00817799"/>
    <w:rsid w:val="00822F5F"/>
    <w:rsid w:val="00824FD3"/>
    <w:rsid w:val="00826589"/>
    <w:rsid w:val="00834BCC"/>
    <w:rsid w:val="00850D54"/>
    <w:rsid w:val="00864BD7"/>
    <w:rsid w:val="00870DC3"/>
    <w:rsid w:val="008714B0"/>
    <w:rsid w:val="00876331"/>
    <w:rsid w:val="00880726"/>
    <w:rsid w:val="00894617"/>
    <w:rsid w:val="008A3544"/>
    <w:rsid w:val="008B48B8"/>
    <w:rsid w:val="008B58F8"/>
    <w:rsid w:val="008C0712"/>
    <w:rsid w:val="008C4520"/>
    <w:rsid w:val="008C5F09"/>
    <w:rsid w:val="008C64DE"/>
    <w:rsid w:val="008D470F"/>
    <w:rsid w:val="008E1F8F"/>
    <w:rsid w:val="008E4768"/>
    <w:rsid w:val="008E761E"/>
    <w:rsid w:val="008F77B3"/>
    <w:rsid w:val="009008F5"/>
    <w:rsid w:val="00904CC1"/>
    <w:rsid w:val="009066AF"/>
    <w:rsid w:val="00912050"/>
    <w:rsid w:val="00912E48"/>
    <w:rsid w:val="00926EFF"/>
    <w:rsid w:val="0092746F"/>
    <w:rsid w:val="00935DC9"/>
    <w:rsid w:val="00942B78"/>
    <w:rsid w:val="009446C0"/>
    <w:rsid w:val="0096082E"/>
    <w:rsid w:val="00967D73"/>
    <w:rsid w:val="0098119A"/>
    <w:rsid w:val="00981E4B"/>
    <w:rsid w:val="00984AAF"/>
    <w:rsid w:val="00991B09"/>
    <w:rsid w:val="00993CB2"/>
    <w:rsid w:val="009A5166"/>
    <w:rsid w:val="009A76F8"/>
    <w:rsid w:val="009B0285"/>
    <w:rsid w:val="009B2B83"/>
    <w:rsid w:val="009C49F8"/>
    <w:rsid w:val="009D77CC"/>
    <w:rsid w:val="009E2423"/>
    <w:rsid w:val="009E27A7"/>
    <w:rsid w:val="009E55D7"/>
    <w:rsid w:val="009F20EC"/>
    <w:rsid w:val="009F4150"/>
    <w:rsid w:val="009F5665"/>
    <w:rsid w:val="009F5DAD"/>
    <w:rsid w:val="00A01436"/>
    <w:rsid w:val="00A10458"/>
    <w:rsid w:val="00A273C3"/>
    <w:rsid w:val="00A3347C"/>
    <w:rsid w:val="00A36C65"/>
    <w:rsid w:val="00A41BBE"/>
    <w:rsid w:val="00A45BDD"/>
    <w:rsid w:val="00A4697A"/>
    <w:rsid w:val="00A46A0A"/>
    <w:rsid w:val="00A5280E"/>
    <w:rsid w:val="00A553F8"/>
    <w:rsid w:val="00A6708F"/>
    <w:rsid w:val="00A71BF6"/>
    <w:rsid w:val="00A86F9A"/>
    <w:rsid w:val="00AA35E6"/>
    <w:rsid w:val="00AA50B6"/>
    <w:rsid w:val="00AB3472"/>
    <w:rsid w:val="00AC4AE0"/>
    <w:rsid w:val="00AD04D8"/>
    <w:rsid w:val="00AD0762"/>
    <w:rsid w:val="00AE4452"/>
    <w:rsid w:val="00AE7C38"/>
    <w:rsid w:val="00AF2950"/>
    <w:rsid w:val="00B01F99"/>
    <w:rsid w:val="00B02B37"/>
    <w:rsid w:val="00B05276"/>
    <w:rsid w:val="00B132DB"/>
    <w:rsid w:val="00B31427"/>
    <w:rsid w:val="00B33861"/>
    <w:rsid w:val="00B346AA"/>
    <w:rsid w:val="00B40DE2"/>
    <w:rsid w:val="00B50210"/>
    <w:rsid w:val="00B53955"/>
    <w:rsid w:val="00B6408A"/>
    <w:rsid w:val="00B714B8"/>
    <w:rsid w:val="00B82C2C"/>
    <w:rsid w:val="00B8720B"/>
    <w:rsid w:val="00B876EF"/>
    <w:rsid w:val="00BA4697"/>
    <w:rsid w:val="00BB5378"/>
    <w:rsid w:val="00BC0BD3"/>
    <w:rsid w:val="00BD0107"/>
    <w:rsid w:val="00BD4D54"/>
    <w:rsid w:val="00BE0C33"/>
    <w:rsid w:val="00BE262C"/>
    <w:rsid w:val="00BE4DD7"/>
    <w:rsid w:val="00BE6C3D"/>
    <w:rsid w:val="00C07606"/>
    <w:rsid w:val="00C12542"/>
    <w:rsid w:val="00C24725"/>
    <w:rsid w:val="00C30BA9"/>
    <w:rsid w:val="00C3541E"/>
    <w:rsid w:val="00C36A8F"/>
    <w:rsid w:val="00C42FFA"/>
    <w:rsid w:val="00C507D8"/>
    <w:rsid w:val="00C62EAC"/>
    <w:rsid w:val="00C63F9F"/>
    <w:rsid w:val="00C7723C"/>
    <w:rsid w:val="00CA1AF4"/>
    <w:rsid w:val="00CA6068"/>
    <w:rsid w:val="00CB15E1"/>
    <w:rsid w:val="00CB3D46"/>
    <w:rsid w:val="00CC76A0"/>
    <w:rsid w:val="00CD0CCE"/>
    <w:rsid w:val="00CD1A87"/>
    <w:rsid w:val="00CD2FBB"/>
    <w:rsid w:val="00CD35F3"/>
    <w:rsid w:val="00CD5C93"/>
    <w:rsid w:val="00CF320C"/>
    <w:rsid w:val="00CF3A4B"/>
    <w:rsid w:val="00D05837"/>
    <w:rsid w:val="00D12D8A"/>
    <w:rsid w:val="00D13E0C"/>
    <w:rsid w:val="00D25896"/>
    <w:rsid w:val="00D373A1"/>
    <w:rsid w:val="00D37C0F"/>
    <w:rsid w:val="00D45661"/>
    <w:rsid w:val="00D45943"/>
    <w:rsid w:val="00D47D22"/>
    <w:rsid w:val="00D51865"/>
    <w:rsid w:val="00D51D0C"/>
    <w:rsid w:val="00D74140"/>
    <w:rsid w:val="00DA6E56"/>
    <w:rsid w:val="00DC6705"/>
    <w:rsid w:val="00DD0BC0"/>
    <w:rsid w:val="00DD2DE8"/>
    <w:rsid w:val="00DE38B4"/>
    <w:rsid w:val="00DE5D02"/>
    <w:rsid w:val="00DF524C"/>
    <w:rsid w:val="00E005A9"/>
    <w:rsid w:val="00E1166E"/>
    <w:rsid w:val="00E24DC0"/>
    <w:rsid w:val="00E2519C"/>
    <w:rsid w:val="00E25F2A"/>
    <w:rsid w:val="00E41455"/>
    <w:rsid w:val="00E42AD2"/>
    <w:rsid w:val="00E50856"/>
    <w:rsid w:val="00E50947"/>
    <w:rsid w:val="00E538CC"/>
    <w:rsid w:val="00E54DBA"/>
    <w:rsid w:val="00E63D7C"/>
    <w:rsid w:val="00E640D5"/>
    <w:rsid w:val="00E67691"/>
    <w:rsid w:val="00E92237"/>
    <w:rsid w:val="00E951EF"/>
    <w:rsid w:val="00E96321"/>
    <w:rsid w:val="00EA3D54"/>
    <w:rsid w:val="00EA56D9"/>
    <w:rsid w:val="00EA5CE3"/>
    <w:rsid w:val="00EB51C1"/>
    <w:rsid w:val="00EB5AE1"/>
    <w:rsid w:val="00EB5E0B"/>
    <w:rsid w:val="00EB5EE0"/>
    <w:rsid w:val="00EC2171"/>
    <w:rsid w:val="00ED442D"/>
    <w:rsid w:val="00ED70C2"/>
    <w:rsid w:val="00EE18FF"/>
    <w:rsid w:val="00EE489F"/>
    <w:rsid w:val="00F02861"/>
    <w:rsid w:val="00F0647F"/>
    <w:rsid w:val="00F10CE3"/>
    <w:rsid w:val="00F14F3B"/>
    <w:rsid w:val="00F16362"/>
    <w:rsid w:val="00F16B65"/>
    <w:rsid w:val="00F36B6D"/>
    <w:rsid w:val="00F43FA3"/>
    <w:rsid w:val="00F44A7E"/>
    <w:rsid w:val="00F70046"/>
    <w:rsid w:val="00F748C2"/>
    <w:rsid w:val="00F76C5C"/>
    <w:rsid w:val="00F81EF3"/>
    <w:rsid w:val="00F84496"/>
    <w:rsid w:val="00F85D9D"/>
    <w:rsid w:val="00F85DCB"/>
    <w:rsid w:val="00F86F9C"/>
    <w:rsid w:val="00FC002E"/>
    <w:rsid w:val="00FC4C23"/>
    <w:rsid w:val="00FC642E"/>
    <w:rsid w:val="00FE2AE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423329F"/>
  <w15:docId w15:val="{3874B0E9-3CF4-417B-BF6E-BAA9F80C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BD4D54"/>
    <w:pPr>
      <w:spacing w:after="0" w:line="240" w:lineRule="auto"/>
    </w:pPr>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BD4D54"/>
    <w:pPr>
      <w:spacing w:before="0" w:beforeAutospacing="0" w:after="0" w:afterAutospacing="0" w:line="240" w:lineRule="auto"/>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BD4D54"/>
    <w:rPr>
      <w:sz w:val="18"/>
    </w:rPr>
  </w:style>
  <w:style w:type="character" w:customStyle="1" w:styleId="CDIFiguresChar">
    <w:name w:val="CDI_Figures Char"/>
    <w:basedOn w:val="NormalWebChar"/>
    <w:link w:val="CDIFigures"/>
    <w:rsid w:val="00C30BA9"/>
    <w:rPr>
      <w:b/>
    </w:rPr>
  </w:style>
  <w:style w:type="paragraph" w:styleId="EndnoteText">
    <w:name w:val="endnote text"/>
    <w:basedOn w:val="Normal"/>
    <w:link w:val="EndnoteTextChar"/>
    <w:uiPriority w:val="99"/>
    <w:semiHidden/>
    <w:unhideWhenUsed/>
    <w:rsid w:val="009F20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20EC"/>
    <w:rPr>
      <w:sz w:val="20"/>
      <w:szCs w:val="20"/>
    </w:rPr>
  </w:style>
  <w:style w:type="character" w:styleId="EndnoteReference">
    <w:name w:val="endnote reference"/>
    <w:basedOn w:val="DefaultParagraphFont"/>
    <w:uiPriority w:val="99"/>
    <w:semiHidden/>
    <w:unhideWhenUsed/>
    <w:rsid w:val="009F20EC"/>
    <w:rPr>
      <w:vertAlign w:val="superscript"/>
    </w:rPr>
  </w:style>
  <w:style w:type="paragraph" w:styleId="FootnoteText">
    <w:name w:val="footnote text"/>
    <w:basedOn w:val="Normal"/>
    <w:link w:val="FootnoteTextChar"/>
    <w:uiPriority w:val="99"/>
    <w:semiHidden/>
    <w:unhideWhenUsed/>
    <w:rsid w:val="009F20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20EC"/>
    <w:rPr>
      <w:sz w:val="20"/>
      <w:szCs w:val="20"/>
    </w:rPr>
  </w:style>
  <w:style w:type="character" w:styleId="FootnoteReference">
    <w:name w:val="footnote reference"/>
    <w:basedOn w:val="DefaultParagraphFont"/>
    <w:uiPriority w:val="99"/>
    <w:semiHidden/>
    <w:unhideWhenUsed/>
    <w:rsid w:val="009F20EC"/>
    <w:rPr>
      <w:vertAlign w:val="superscript"/>
    </w:rPr>
  </w:style>
  <w:style w:type="character" w:customStyle="1" w:styleId="URI">
    <w:name w:val="URI"/>
    <w:uiPriority w:val="99"/>
    <w:rsid w:val="00894617"/>
    <w:rPr>
      <w:color w:val="000000"/>
      <w:u w:val="thick"/>
    </w:rPr>
  </w:style>
  <w:style w:type="character" w:customStyle="1" w:styleId="nobreak">
    <w:name w:val="no break"/>
    <w:uiPriority w:val="99"/>
    <w:rsid w:val="00894617"/>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77068395">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44168040">
      <w:marLeft w:val="0"/>
      <w:marRight w:val="0"/>
      <w:marTop w:val="0"/>
      <w:marBottom w:val="0"/>
      <w:divBdr>
        <w:top w:val="none" w:sz="0" w:space="0" w:color="auto"/>
        <w:left w:val="none" w:sz="0" w:space="0" w:color="auto"/>
        <w:bottom w:val="none" w:sz="0" w:space="0" w:color="auto"/>
        <w:right w:val="none" w:sz="0" w:space="0" w:color="auto"/>
      </w:divBdr>
    </w:div>
    <w:div w:id="728723431">
      <w:marLeft w:val="0"/>
      <w:marRight w:val="0"/>
      <w:marTop w:val="0"/>
      <w:marBottom w:val="0"/>
      <w:divBdr>
        <w:top w:val="none" w:sz="0" w:space="0" w:color="auto"/>
        <w:left w:val="none" w:sz="0" w:space="0" w:color="auto"/>
        <w:bottom w:val="none" w:sz="0" w:space="0" w:color="auto"/>
        <w:right w:val="none" w:sz="0" w:space="0" w:color="auto"/>
      </w:divBdr>
    </w:div>
    <w:div w:id="1169711450">
      <w:marLeft w:val="0"/>
      <w:marRight w:val="0"/>
      <w:marTop w:val="0"/>
      <w:marBottom w:val="0"/>
      <w:divBdr>
        <w:top w:val="none" w:sz="0" w:space="0" w:color="auto"/>
        <w:left w:val="none" w:sz="0" w:space="0" w:color="auto"/>
        <w:bottom w:val="none" w:sz="0" w:space="0" w:color="auto"/>
        <w:right w:val="none" w:sz="0" w:space="0" w:color="auto"/>
      </w:divBdr>
    </w:div>
    <w:div w:id="1245527073">
      <w:marLeft w:val="0"/>
      <w:marRight w:val="0"/>
      <w:marTop w:val="0"/>
      <w:marBottom w:val="0"/>
      <w:divBdr>
        <w:top w:val="none" w:sz="0" w:space="0" w:color="auto"/>
        <w:left w:val="none" w:sz="0" w:space="0" w:color="auto"/>
        <w:bottom w:val="none" w:sz="0" w:space="0" w:color="auto"/>
        <w:right w:val="none" w:sz="0" w:space="0" w:color="auto"/>
      </w:divBdr>
    </w:div>
    <w:div w:id="1287657058">
      <w:marLeft w:val="0"/>
      <w:marRight w:val="0"/>
      <w:marTop w:val="0"/>
      <w:marBottom w:val="0"/>
      <w:divBdr>
        <w:top w:val="none" w:sz="0" w:space="0" w:color="auto"/>
        <w:left w:val="none" w:sz="0" w:space="0" w:color="auto"/>
        <w:bottom w:val="none" w:sz="0" w:space="0" w:color="auto"/>
        <w:right w:val="none" w:sz="0" w:space="0" w:color="auto"/>
      </w:divBdr>
    </w:div>
    <w:div w:id="1489052483">
      <w:marLeft w:val="0"/>
      <w:marRight w:val="0"/>
      <w:marTop w:val="0"/>
      <w:marBottom w:val="0"/>
      <w:divBdr>
        <w:top w:val="none" w:sz="0" w:space="0" w:color="auto"/>
        <w:left w:val="none" w:sz="0" w:space="0" w:color="auto"/>
        <w:bottom w:val="none" w:sz="0" w:space="0" w:color="auto"/>
        <w:right w:val="none" w:sz="0" w:space="0" w:color="auto"/>
      </w:divBdr>
    </w:div>
    <w:div w:id="1575092265">
      <w:marLeft w:val="0"/>
      <w:marRight w:val="0"/>
      <w:marTop w:val="0"/>
      <w:marBottom w:val="0"/>
      <w:divBdr>
        <w:top w:val="none" w:sz="0" w:space="0" w:color="auto"/>
        <w:left w:val="none" w:sz="0" w:space="0" w:color="auto"/>
        <w:bottom w:val="none" w:sz="0" w:space="0" w:color="auto"/>
        <w:right w:val="none" w:sz="0" w:space="0" w:color="auto"/>
      </w:divBdr>
    </w:div>
    <w:div w:id="1878930265">
      <w:marLeft w:val="0"/>
      <w:marRight w:val="0"/>
      <w:marTop w:val="0"/>
      <w:marBottom w:val="0"/>
      <w:divBdr>
        <w:top w:val="none" w:sz="0" w:space="0" w:color="auto"/>
        <w:left w:val="none" w:sz="0" w:space="0" w:color="auto"/>
        <w:bottom w:val="none" w:sz="0" w:space="0" w:color="auto"/>
        <w:right w:val="none" w:sz="0" w:space="0" w:color="auto"/>
      </w:divBdr>
    </w:div>
    <w:div w:id="1888108774">
      <w:marLeft w:val="0"/>
      <w:marRight w:val="0"/>
      <w:marTop w:val="0"/>
      <w:marBottom w:val="0"/>
      <w:divBdr>
        <w:top w:val="none" w:sz="0" w:space="0" w:color="auto"/>
        <w:left w:val="none" w:sz="0" w:space="0" w:color="auto"/>
        <w:bottom w:val="none" w:sz="0" w:space="0" w:color="auto"/>
        <w:right w:val="none" w:sz="0" w:space="0" w:color="auto"/>
      </w:divBdr>
    </w:div>
    <w:div w:id="204212682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8-volume\cdi-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2EA6BE-E4F2-4CAC-AA96-CBD97095A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cdi-template.dotm</Template>
  <TotalTime>108</TotalTime>
  <Pages>11</Pages>
  <Words>2796</Words>
  <Characters>14978</Characters>
  <Application>Microsoft Office Word</Application>
  <DocSecurity>0</DocSecurity>
  <Lines>124</Lines>
  <Paragraphs>35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Communicable Diseases Intelligence 2018 - Invasive Pneumococcal Disease Surveillance, 1 October to 31 December 2017</vt:lpstr>
      <vt:lpstr>Summary </vt:lpstr>
      <vt:lpstr/>
      <vt:lpstr>Key points </vt:lpstr>
      <vt:lpstr>Notes </vt:lpstr>
      <vt:lpstr>Acknowledgements </vt:lpstr>
      <vt:lpstr>Author details </vt:lpstr>
      <vt:lpstr>    Corresponding author </vt:lpstr>
    </vt:vector>
  </TitlesOfParts>
  <Company>Australian Government, Department of Health</Company>
  <LinksUpToDate>false</LinksUpToDate>
  <CharactersWithSpaces>17739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2018 - Invasive Pneumococcal Disease Surveillance, 1 October to 31 December 2017</dc:title>
  <dc:subject>This quarterly report provides a summary of invasive pneumococcal disease notifications in Australia during the fourth quarter of 2017.</dc:subject>
  <dc:creator>Kate Pennington and the Enhanced Invasive Pneumococcal Disease Surveillance Working Group; for the Communicable Diseases Network Australia</dc:creator>
  <cp:keywords>; Invasive pneumococcal disease; Australia; Epidemiology; IPD</cp:keywords>
  <dc:description>© Commonwealth of Australia CC BY-NC-ND</dc:description>
  <cp:lastModifiedBy>YOUSEFI, Kasra</cp:lastModifiedBy>
  <cp:revision>55</cp:revision>
  <cp:lastPrinted>2018-11-21T00:36:00Z</cp:lastPrinted>
  <dcterms:created xsi:type="dcterms:W3CDTF">2018-11-20T22:44:00Z</dcterms:created>
  <dcterms:modified xsi:type="dcterms:W3CDTF">2019-01-24T00:06:00Z</dcterms:modified>
  <cp:category>Short report</cp:category>
  <cp:contentStatus>Final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_MarkAsFinal">
    <vt:bool>true</vt:bool>
  </property>
</Properties>
</file>