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92C2B5" w14:textId="77777777" w:rsidR="00612295" w:rsidRDefault="00612295" w:rsidP="00361D47">
      <w:pPr>
        <w:pStyle w:val="Title"/>
        <w:spacing w:after="0" w:line="360" w:lineRule="auto"/>
        <w:rPr>
          <w:rFonts w:eastAsia="Times New Roman"/>
          <w:sz w:val="48"/>
          <w:szCs w:val="48"/>
        </w:rPr>
      </w:pPr>
      <w:r>
        <w:rPr>
          <w:rFonts w:eastAsia="Times New Roman"/>
        </w:rPr>
        <w:t xml:space="preserve">COVID-19 Australia: Epidemiology Report 50 </w:t>
      </w:r>
    </w:p>
    <w:p w14:paraId="32449310" w14:textId="77777777" w:rsidR="00612295" w:rsidRPr="00872E14" w:rsidRDefault="00612295" w:rsidP="00361D47">
      <w:pPr>
        <w:pStyle w:val="Subtitle"/>
        <w:spacing w:after="0" w:line="360" w:lineRule="auto"/>
      </w:pPr>
      <w:r w:rsidRPr="00872E14">
        <w:t xml:space="preserve">Reporting period ending 12 September 2021 </w:t>
      </w:r>
    </w:p>
    <w:p w14:paraId="0BCAA9A7" w14:textId="77777777" w:rsidR="00612295" w:rsidRDefault="00612295" w:rsidP="00361D47">
      <w:pPr>
        <w:spacing w:after="0" w:line="240" w:lineRule="auto"/>
      </w:pPr>
      <w:r>
        <w:t xml:space="preserve">COVID-19 National Incident Room Surveillance Team </w:t>
      </w:r>
    </w:p>
    <w:p w14:paraId="78DB212A" w14:textId="342FA1D7" w:rsidR="00612295" w:rsidRDefault="00612295" w:rsidP="00361D47">
      <w:pPr>
        <w:pStyle w:val="Heading1"/>
        <w:spacing w:before="240"/>
      </w:pPr>
      <w:r w:rsidRPr="00612295">
        <w:t>Summary</w:t>
      </w:r>
    </w:p>
    <w:p w14:paraId="22607971" w14:textId="239AED5E" w:rsidR="003D5B68" w:rsidRPr="003D5B68" w:rsidRDefault="003D5B68" w:rsidP="003D5B68">
      <w:r w:rsidRPr="00C33618">
        <w:rPr>
          <w:rStyle w:val="Heading3Char"/>
          <w:noProof/>
          <w:lang w:val="en-GB"/>
        </w:rPr>
        <mc:AlternateContent>
          <mc:Choice Requires="wps">
            <w:drawing>
              <wp:inline distT="0" distB="0" distL="0" distR="0" wp14:anchorId="099100E6" wp14:editId="48713B14">
                <wp:extent cx="6625424" cy="7183527"/>
                <wp:effectExtent l="0" t="0" r="23495" b="17780"/>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7183527"/>
                        </a:xfrm>
                        <a:prstGeom prst="rect">
                          <a:avLst/>
                        </a:prstGeom>
                        <a:solidFill>
                          <a:schemeClr val="accent6">
                            <a:lumMod val="20000"/>
                            <a:lumOff val="80000"/>
                            <a:alpha val="20000"/>
                          </a:schemeClr>
                        </a:solidFill>
                        <a:ln w="3175">
                          <a:solidFill>
                            <a:srgbClr val="FDEADA"/>
                          </a:solidFill>
                          <a:miter lim="800000"/>
                          <a:headEnd/>
                          <a:tailEnd/>
                        </a:ln>
                      </wps:spPr>
                      <wps:txbx>
                        <w:txbxContent>
                          <w:p w14:paraId="6526542C" w14:textId="77777777" w:rsidR="0099623F" w:rsidRPr="00612295" w:rsidRDefault="0099623F" w:rsidP="003D5B68">
                            <w:pPr>
                              <w:pStyle w:val="Heading2"/>
                            </w:pPr>
                            <w:r w:rsidRPr="00612295">
                              <w:t xml:space="preserve">Two-week reporting period: </w:t>
                            </w:r>
                          </w:p>
                          <w:p w14:paraId="0A78148C" w14:textId="77777777" w:rsidR="0099623F" w:rsidRDefault="0099623F" w:rsidP="003D5B68">
                            <w:r>
                              <w:rPr>
                                <w:rStyle w:val="Strong"/>
                              </w:rPr>
                              <w:t xml:space="preserve">Trends – </w:t>
                            </w:r>
                            <w:r>
                              <w:t xml:space="preserve">The weekly number of new COVID-19 cases has been increasing since mid-June 2021. The daily average of 1,626 cases for this reporting period was 1.7 times the previous fortnight’s daily average of 934 cases. There were 22,766 cases of COVID-19 this fortnight, bringing the 2021 cumulative case count to 46,729. </w:t>
                            </w:r>
                          </w:p>
                          <w:p w14:paraId="3BB8FC4D" w14:textId="77777777" w:rsidR="0099623F" w:rsidRDefault="0099623F" w:rsidP="003D5B68">
                            <w:r>
                              <w:rPr>
                                <w:rStyle w:val="Strong"/>
                              </w:rPr>
                              <w:t>Local cases –</w:t>
                            </w:r>
                            <w:r>
                              <w:t xml:space="preserve"> There were 20,671 locally-acquired cases reported this fortnight, representing 91% (20,671/22,766) of cases in Australia. In addition, 2,043 cases were under investigation at the time of reporting. The majority of </w:t>
                            </w:r>
                            <w:proofErr w:type="gramStart"/>
                            <w:r>
                              <w:t>locally-acquired</w:t>
                            </w:r>
                            <w:proofErr w:type="gramEnd"/>
                            <w:r>
                              <w:t xml:space="preserve"> cases this fortnight were reported in New South Wales (89%; 18,344/20,671), followed by Victoria (10%; 2,068/20,671). </w:t>
                            </w:r>
                          </w:p>
                          <w:p w14:paraId="42B3EDB7" w14:textId="0E8567A1" w:rsidR="0099623F" w:rsidRDefault="0099623F" w:rsidP="003D5B68">
                            <w:r>
                              <w:rPr>
                                <w:rStyle w:val="Strong"/>
                              </w:rPr>
                              <w:t>Clusters and high-risk settings –</w:t>
                            </w:r>
                            <w:r>
                              <w:t xml:space="preserve"> The size of </w:t>
                            </w:r>
                            <w:r w:rsidR="00C46870">
                              <w:t xml:space="preserve">the </w:t>
                            </w:r>
                            <w:r>
                              <w:t xml:space="preserve">outbreak in metropolitan Sydney, New South Wales continued to increase during the reporting period. As at 12 September 2021, there were 38,856 </w:t>
                            </w:r>
                            <w:proofErr w:type="gramStart"/>
                            <w:r>
                              <w:t>locally-acquired</w:t>
                            </w:r>
                            <w:proofErr w:type="gramEnd"/>
                            <w:r>
                              <w:t xml:space="preserve"> cases in New South Wales, including 183 deaths, since the first case on 16 June 2021. Genomic testing showed that this case was infected with the ‘Delta’ SARS-CoV-2 variant of concern (B.1.617.2). Several cases in other states have also been linked to this cluster. Whilst the outbreak started in south-east Sydney, the largest proportion of recently-reported cases continued to be among residents of south-western and western Sydney, with cases also reported in residents of regional and remote areas in New South Wales, particularly in western New South Wales. </w:t>
                            </w:r>
                            <w:proofErr w:type="gramStart"/>
                            <w:r>
                              <w:t>Locally-acquired</w:t>
                            </w:r>
                            <w:proofErr w:type="gramEnd"/>
                            <w:r>
                              <w:t xml:space="preserve"> cases reported in Victoria were linked to cases first reported on 5 August 2021. As at 12 September 2021, there were 4,646 cases associated with the Victorian outbreaks, which involved the Delta </w:t>
                            </w:r>
                            <w:proofErr w:type="gramStart"/>
                            <w:r>
                              <w:t>variant</w:t>
                            </w:r>
                            <w:proofErr w:type="gramEnd"/>
                            <w:r>
                              <w:t xml:space="preserve"> and which were closely associated with the current New South Wales and recent July 2021 Victorian outbreaks. Most cases in the Victorian outbreaks were in Greater Melbourne; however, cases had also been reported in Shepparton in regional Victoria. The outbreak in the Australian Capital Territory increased during the reporting period. The primary case in the outbreak was reported on 12 August 2021 and was infected with the Delta variant. As at 12 September 2021, a total of 506 cases had been reported as part of this outbreak. In Queensland, most </w:t>
                            </w:r>
                            <w:proofErr w:type="gramStart"/>
                            <w:r>
                              <w:t>locally-acquired</w:t>
                            </w:r>
                            <w:proofErr w:type="gramEnd"/>
                            <w:r>
                              <w:t xml:space="preserve"> cases notified during the reporting period were part of an outbreak linked to travellers from New South Wales, with the first cases reported on 5 September 2021. As at 12 September 2021, a total of 7 cases were linked to this outbreak. </w:t>
                            </w:r>
                          </w:p>
                          <w:p w14:paraId="0BB353DC" w14:textId="77777777" w:rsidR="0099623F" w:rsidRDefault="0099623F" w:rsidP="003D5B68">
                            <w:r>
                              <w:rPr>
                                <w:rStyle w:val="Strong"/>
                              </w:rPr>
                              <w:t>Aboriginal and Torres Strait Islander persons –</w:t>
                            </w:r>
                            <w:r>
                              <w:t xml:space="preserve"> During the reporting period, 810 new cases were notified in Aboriginal and Torres Strait Islander people, with 795 from New South Wales, nine from the Australian Capital Territory, and three each from Queensland and Victoria. In 2021 to date, there have been 1,615 confirmed cases of COVID-19, including three deaths, notified in Aboriginal and Torres Strait Islander people. Of </w:t>
                            </w:r>
                            <w:proofErr w:type="gramStart"/>
                            <w:r>
                              <w:t>locally-acquired</w:t>
                            </w:r>
                            <w:proofErr w:type="gramEnd"/>
                            <w:r>
                              <w:t xml:space="preserve"> cases notified in 2021, 41% (653/1,600) lived in a regional or remote area. </w:t>
                            </w:r>
                          </w:p>
                          <w:p w14:paraId="79A4D23F" w14:textId="77777777" w:rsidR="0099623F" w:rsidRDefault="0099623F" w:rsidP="003D5B68">
                            <w:r>
                              <w:rPr>
                                <w:rStyle w:val="Strong"/>
                              </w:rPr>
                              <w:t>Overseas cases –</w:t>
                            </w:r>
                            <w:r>
                              <w:t xml:space="preserve"> There were 48 overseas-acquired cases this reporting period, with the largest number of cases reported in New South Wales (50%; 24/48), followed by South Australia (21%; 10/48). </w:t>
                            </w:r>
                          </w:p>
                          <w:p w14:paraId="4322A4FC" w14:textId="77777777" w:rsidR="0099623F" w:rsidRDefault="0099623F" w:rsidP="003D5B68">
                            <w:r>
                              <w:rPr>
                                <w:rStyle w:val="Strong"/>
                              </w:rPr>
                              <w:t xml:space="preserve">Vaccinations – </w:t>
                            </w:r>
                            <w:r>
                              <w:t xml:space="preserve">As at 12 September 2021, there have been 22,802,573 doses of COVID-19 vaccine administered in Australia. </w:t>
                            </w:r>
                          </w:p>
                          <w:p w14:paraId="2320392E" w14:textId="77777777" w:rsidR="0099623F" w:rsidRDefault="0099623F" w:rsidP="003D5B68">
                            <w:r>
                              <w:rPr>
                                <w:rStyle w:val="Strong"/>
                              </w:rPr>
                              <w:t>Severity –</w:t>
                            </w:r>
                            <w:r>
                              <w:t xml:space="preserve"> In 2021, based on the highest level of severity reported for cases with an illness onset up to 29 August 2021, 1% of cases were reported to have died, 2% of cases required intensive care and a further 14% required admission to hospital. Given the delay between illness onset and severe illness, to provide a more accurate assessment of the highest level of severity, cases with an onset in the last two weeks were excluded from the analysis. </w:t>
                            </w:r>
                          </w:p>
                          <w:p w14:paraId="263E6730" w14:textId="77777777" w:rsidR="0099623F" w:rsidRDefault="0099623F" w:rsidP="003D5B68">
                            <w:pPr>
                              <w:pStyle w:val="Heading2"/>
                              <w:rPr>
                                <w:rFonts w:eastAsia="Times New Roman"/>
                              </w:rPr>
                            </w:pPr>
                            <w:r>
                              <w:rPr>
                                <w:rFonts w:eastAsia="Times New Roman"/>
                              </w:rPr>
                              <w:t xml:space="preserve">Four-week reporting period: </w:t>
                            </w:r>
                          </w:p>
                          <w:p w14:paraId="43096F3C" w14:textId="77777777" w:rsidR="0099623F" w:rsidRDefault="0099623F" w:rsidP="003D5B68">
                            <w:r>
                              <w:rPr>
                                <w:rStyle w:val="Strong"/>
                              </w:rPr>
                              <w:t>Virology –</w:t>
                            </w:r>
                            <w:r>
                              <w:t xml:space="preserve"> Nationally, SARS-CoV-2 strains from 41%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11,044 samples of Delta (B.1.617.2); 554 samples of Alpha (B.1.1.7); 129 samples of Kappa (B.1.617.1); 99 samples of Beta (B.1.351); and eight samples of Gamma (P.1) in Australia. </w:t>
                            </w:r>
                          </w:p>
                          <w:p w14:paraId="5BFD1F9F" w14:textId="77777777" w:rsidR="0099623F" w:rsidRDefault="0099623F" w:rsidP="003D5B68">
                            <w:r>
                              <w:rPr>
                                <w:rStyle w:val="Strong"/>
                              </w:rPr>
                              <w:t>International situation –</w:t>
                            </w:r>
                            <w:r>
                              <w:t xml:space="preserve"> Cumulative global COVID-19 cases stood at more than 224 million, with over 4.6 million deaths reported globally, as of 12 September 2021. In Australia’s near region, the South East Asia and Western Pacific Regions reported almost 4.3 million </w:t>
                            </w:r>
                            <w:proofErr w:type="gramStart"/>
                            <w:r>
                              <w:t>newly-confirmed</w:t>
                            </w:r>
                            <w:proofErr w:type="gramEnd"/>
                            <w:r>
                              <w:t xml:space="preserve"> cases and almost 77,000 deaths in the four-week period to 12 September 2021.</w:t>
                            </w:r>
                          </w:p>
                          <w:p w14:paraId="5CCABC43" w14:textId="77777777" w:rsidR="0099623F" w:rsidRPr="00C33618" w:rsidRDefault="0099623F" w:rsidP="003D5B68">
                            <w:pPr>
                              <w:rPr>
                                <w:lang w:val="en-GB"/>
                              </w:rPr>
                            </w:pPr>
                          </w:p>
                        </w:txbxContent>
                      </wps:txbx>
                      <wps:bodyPr rot="0" vert="horz" wrap="square" lIns="91440" tIns="45720" rIns="91440" bIns="45720" anchor="t" anchorCtr="0">
                        <a:noAutofit/>
                      </wps:bodyPr>
                    </wps:wsp>
                  </a:graphicData>
                </a:graphic>
              </wp:inline>
            </w:drawing>
          </mc:Choice>
          <mc:Fallback>
            <w:pict>
              <v:shapetype w14:anchorId="099100E6" id="_x0000_t202" coordsize="21600,21600" o:spt="202" path="m,l,21600r21600,l21600,xe">
                <v:stroke joinstyle="miter"/>
                <v:path gradientshapeok="t" o:connecttype="rect"/>
              </v:shapetype>
              <v:shape id="Text Box 2" o:spid="_x0000_s1026" type="#_x0000_t202" style="width:521.7pt;height:56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" fillcolor="#fde9d9 [665]" strokecolor="#fdeada" strokeweight=".25pt">
                <v:fill opacity="13107f"/>
                <v:textbox>
                  <w:txbxContent>
                    <w:p w14:paraId="6526542C" w14:textId="77777777" w:rsidR="0099623F" w:rsidRPr="00612295" w:rsidRDefault="0099623F" w:rsidP="003D5B68">
                      <w:pPr>
                        <w:pStyle w:val="Heading2"/>
                      </w:pPr>
                      <w:r w:rsidRPr="00612295">
                        <w:t xml:space="preserve">Two-week reporting period: </w:t>
                      </w:r>
                    </w:p>
                    <w:p w14:paraId="0A78148C" w14:textId="77777777" w:rsidR="0099623F" w:rsidRDefault="0099623F" w:rsidP="003D5B68">
                      <w:r>
                        <w:rPr>
                          <w:rStyle w:val="Strong"/>
                        </w:rPr>
                        <w:t xml:space="preserve">Trends – </w:t>
                      </w:r>
                      <w:r>
                        <w:t xml:space="preserve">The weekly number of new COVID-19 cases has been increasing since mid-June 2021. The daily average of 1,626 cases for this reporting period was 1.7 times the previous fortnight’s daily average of 934 cases. There were 22,766 cases of COVID-19 this fortnight, bringing the 2021 cumulative case count to 46,729. </w:t>
                      </w:r>
                    </w:p>
                    <w:p w14:paraId="3BB8FC4D" w14:textId="77777777" w:rsidR="0099623F" w:rsidRDefault="0099623F" w:rsidP="003D5B68">
                      <w:r>
                        <w:rPr>
                          <w:rStyle w:val="Strong"/>
                        </w:rPr>
                        <w:t>Local cases –</w:t>
                      </w:r>
                      <w:r>
                        <w:t xml:space="preserve"> There were 20,671 locally-acquired cases reported this fortnight, representing 91% (20,671/22,766) of cases in Australia. In addition, 2,043 cases were under investigation at the time of reporting. The majority of </w:t>
                      </w:r>
                      <w:proofErr w:type="gramStart"/>
                      <w:r>
                        <w:t>locally-acquired</w:t>
                      </w:r>
                      <w:proofErr w:type="gramEnd"/>
                      <w:r>
                        <w:t xml:space="preserve"> cases this fortnight were reported in New South Wales (89%; 18,344/20,671), followed by Victoria (10%; 2,068/20,671). </w:t>
                      </w:r>
                    </w:p>
                    <w:p w14:paraId="42B3EDB7" w14:textId="0E8567A1" w:rsidR="0099623F" w:rsidRDefault="0099623F" w:rsidP="003D5B68">
                      <w:r>
                        <w:rPr>
                          <w:rStyle w:val="Strong"/>
                        </w:rPr>
                        <w:t>Clusters and high-risk settings –</w:t>
                      </w:r>
                      <w:r>
                        <w:t xml:space="preserve"> The size of </w:t>
                      </w:r>
                      <w:r w:rsidR="00C46870">
                        <w:t xml:space="preserve">the </w:t>
                      </w:r>
                      <w:r>
                        <w:t xml:space="preserve">outbreak in metropolitan Sydney, New South Wales continued to increase during the reporting period. As at 12 September 2021, there were 38,856 </w:t>
                      </w:r>
                      <w:proofErr w:type="gramStart"/>
                      <w:r>
                        <w:t>locally-acquired</w:t>
                      </w:r>
                      <w:proofErr w:type="gramEnd"/>
                      <w:r>
                        <w:t xml:space="preserve"> cases in New South Wales, including 183 deaths, since the first case on 16 June 2021. Genomic testing showed that this case was infected with the ‘Delta’ SARS-CoV-2 variant of concern (B.1.617.2). Several cases in other states have also been linked to this cluster. Whilst the outbreak started in south-east Sydney, the largest proportion of recently-reported cases continued to be among residents of south-western and western Sydney, with cases also reported in residents of regional and remote areas in New South Wales, particularly in western New South Wales. </w:t>
                      </w:r>
                      <w:proofErr w:type="gramStart"/>
                      <w:r>
                        <w:t>Locally-acquired</w:t>
                      </w:r>
                      <w:proofErr w:type="gramEnd"/>
                      <w:r>
                        <w:t xml:space="preserve"> cases reported in Victoria were linked to cases first reported on 5 August 2021. As at 12 September 2021, there were 4,646 cases associated with the Victorian outbreaks, which involved the Delta </w:t>
                      </w:r>
                      <w:proofErr w:type="gramStart"/>
                      <w:r>
                        <w:t>variant</w:t>
                      </w:r>
                      <w:proofErr w:type="gramEnd"/>
                      <w:r>
                        <w:t xml:space="preserve"> and which were closely associated with the current New South Wales and recent July 2021 Victorian outbreaks. Most cases in the Victorian outbreaks were in Greater Melbourne; however, cases had also been reported in Shepparton in regional Victoria. The outbreak in the Australian Capital Territory increased during the reporting period. The primary case in the outbreak was reported on 12 August 2021 and was infected with the Delta variant. As at 12 September 2021, a total of 506 cases had been reported as part of this outbreak. In Queensland, most </w:t>
                      </w:r>
                      <w:proofErr w:type="gramStart"/>
                      <w:r>
                        <w:t>locally-acquired</w:t>
                      </w:r>
                      <w:proofErr w:type="gramEnd"/>
                      <w:r>
                        <w:t xml:space="preserve"> cases notified during the reporting period were part of an outbreak linked to travellers from New South Wales, with the first cases reported on 5 September 2021. As at 12 September 2021, a total of 7 cases were linked to this outbreak. </w:t>
                      </w:r>
                    </w:p>
                    <w:p w14:paraId="0BB353DC" w14:textId="77777777" w:rsidR="0099623F" w:rsidRDefault="0099623F" w:rsidP="003D5B68">
                      <w:r>
                        <w:rPr>
                          <w:rStyle w:val="Strong"/>
                        </w:rPr>
                        <w:t>Aboriginal and Torres Strait Islander persons –</w:t>
                      </w:r>
                      <w:r>
                        <w:t xml:space="preserve"> During the reporting period, 810 new cases were notified in Aboriginal and Torres Strait Islander people, with 795 from New South Wales, nine from the Australian Capital Territory, and three each from Queensland and Victoria. In 2021 to date, there have been 1,615 confirmed cases of COVID-19, including three deaths, notified in Aboriginal and Torres Strait Islander people. Of </w:t>
                      </w:r>
                      <w:proofErr w:type="gramStart"/>
                      <w:r>
                        <w:t>locally-acquired</w:t>
                      </w:r>
                      <w:proofErr w:type="gramEnd"/>
                      <w:r>
                        <w:t xml:space="preserve"> cases notified in 2021, 41% (653/1,600) lived in a regional or remote area. </w:t>
                      </w:r>
                    </w:p>
                    <w:p w14:paraId="79A4D23F" w14:textId="77777777" w:rsidR="0099623F" w:rsidRDefault="0099623F" w:rsidP="003D5B68">
                      <w:r>
                        <w:rPr>
                          <w:rStyle w:val="Strong"/>
                        </w:rPr>
                        <w:t>Overseas cases –</w:t>
                      </w:r>
                      <w:r>
                        <w:t xml:space="preserve"> There were 48 overseas-acquired cases this reporting period, with the largest number of cases reported in New South Wales (50%; 24/48), followed by South Australia (21%; 10/48). </w:t>
                      </w:r>
                    </w:p>
                    <w:p w14:paraId="4322A4FC" w14:textId="77777777" w:rsidR="0099623F" w:rsidRDefault="0099623F" w:rsidP="003D5B68">
                      <w:r>
                        <w:rPr>
                          <w:rStyle w:val="Strong"/>
                        </w:rPr>
                        <w:t xml:space="preserve">Vaccinations – </w:t>
                      </w:r>
                      <w:r>
                        <w:t xml:space="preserve">As at 12 September 2021, there have been 22,802,573 doses of COVID-19 vaccine administered in Australia. </w:t>
                      </w:r>
                    </w:p>
                    <w:p w14:paraId="2320392E" w14:textId="77777777" w:rsidR="0099623F" w:rsidRDefault="0099623F" w:rsidP="003D5B68">
                      <w:r>
                        <w:rPr>
                          <w:rStyle w:val="Strong"/>
                        </w:rPr>
                        <w:t>Severity –</w:t>
                      </w:r>
                      <w:r>
                        <w:t xml:space="preserve"> In 2021, based on the highest level of severity reported for cases with an illness onset up to 29 August 2021, 1% of cases were reported to have died, 2% of cases required intensive care and a further 14% required admission to hospital. Given the delay between illness onset and severe illness, to provide a more accurate assessment of the highest level of severity, cases with an onset in the last two weeks were excluded from the analysis. </w:t>
                      </w:r>
                    </w:p>
                    <w:p w14:paraId="263E6730" w14:textId="77777777" w:rsidR="0099623F" w:rsidRDefault="0099623F" w:rsidP="003D5B68">
                      <w:pPr>
                        <w:pStyle w:val="Heading2"/>
                        <w:rPr>
                          <w:rFonts w:eastAsia="Times New Roman"/>
                        </w:rPr>
                      </w:pPr>
                      <w:r>
                        <w:rPr>
                          <w:rFonts w:eastAsia="Times New Roman"/>
                        </w:rPr>
                        <w:t xml:space="preserve">Four-week reporting period: </w:t>
                      </w:r>
                    </w:p>
                    <w:p w14:paraId="43096F3C" w14:textId="77777777" w:rsidR="0099623F" w:rsidRDefault="0099623F" w:rsidP="003D5B68">
                      <w:r>
                        <w:rPr>
                          <w:rStyle w:val="Strong"/>
                        </w:rPr>
                        <w:t>Virology –</w:t>
                      </w:r>
                      <w:r>
                        <w:t xml:space="preserve"> Nationally, SARS-CoV-2 strains from 41%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11,044 samples of Delta (B.1.617.2); 554 samples of Alpha (B.1.1.7); 129 samples of Kappa (B.1.617.1); 99 samples of Beta (B.1.351); and eight samples of Gamma (P.1) in Australia. </w:t>
                      </w:r>
                    </w:p>
                    <w:p w14:paraId="5BFD1F9F" w14:textId="77777777" w:rsidR="0099623F" w:rsidRDefault="0099623F" w:rsidP="003D5B68">
                      <w:r>
                        <w:rPr>
                          <w:rStyle w:val="Strong"/>
                        </w:rPr>
                        <w:t>International situation –</w:t>
                      </w:r>
                      <w:r>
                        <w:t xml:space="preserve"> Cumulative global COVID-19 cases stood at more than 224 million, with over 4.6 million deaths reported globally, as of 12 September 2021. In Australia’s near region, the South East Asia and Western Pacific Regions reported almost 4.3 million </w:t>
                      </w:r>
                      <w:proofErr w:type="gramStart"/>
                      <w:r>
                        <w:t>newly-confirmed</w:t>
                      </w:r>
                      <w:proofErr w:type="gramEnd"/>
                      <w:r>
                        <w:t xml:space="preserve"> cases and almost 77,000 deaths in the four-week period to 12 September 2021.</w:t>
                      </w:r>
                    </w:p>
                    <w:p w14:paraId="5CCABC43" w14:textId="77777777" w:rsidR="0099623F" w:rsidRPr="00C33618" w:rsidRDefault="0099623F" w:rsidP="003D5B68">
                      <w:pPr>
                        <w:rPr>
                          <w:lang w:val="en-GB"/>
                        </w:rPr>
                      </w:pPr>
                    </w:p>
                  </w:txbxContent>
                </v:textbox>
                <w10:anchorlock/>
              </v:shape>
            </w:pict>
          </mc:Fallback>
        </mc:AlternateContent>
      </w:r>
    </w:p>
    <w:p w14:paraId="76C952C8" w14:textId="55998B6E" w:rsidR="003D5B68" w:rsidRDefault="003D5B68" w:rsidP="00612295">
      <w:r w:rsidRPr="00C33618">
        <w:rPr>
          <w:rStyle w:val="Heading3Char"/>
          <w:noProof/>
          <w:lang w:val="en-GB"/>
        </w:rPr>
        <w:lastRenderedPageBreak/>
        <mc:AlternateContent>
          <mc:Choice Requires="wps">
            <w:drawing>
              <wp:inline distT="0" distB="0" distL="0" distR="0" wp14:anchorId="7E86D8FE" wp14:editId="49D97A49">
                <wp:extent cx="6625424" cy="3847795"/>
                <wp:effectExtent l="0" t="0" r="23495" b="1968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5424" cy="3847795"/>
                        </a:xfrm>
                        <a:prstGeom prst="rect">
                          <a:avLst/>
                        </a:prstGeom>
                        <a:solidFill>
                          <a:schemeClr val="accent6">
                            <a:lumMod val="20000"/>
                            <a:lumOff val="80000"/>
                            <a:alpha val="20000"/>
                          </a:schemeClr>
                        </a:solidFill>
                        <a:ln w="3175">
                          <a:solidFill>
                            <a:srgbClr val="FDEADA"/>
                          </a:solidFill>
                          <a:miter lim="800000"/>
                          <a:headEnd/>
                          <a:tailEnd/>
                        </a:ln>
                      </wps:spPr>
                      <wps:txbx>
                        <w:txbxContent>
                          <w:p w14:paraId="2BA6F4AA" w14:textId="77777777" w:rsidR="0099623F" w:rsidRDefault="0099623F" w:rsidP="003D5B68">
                            <w:r>
                              <w:rPr>
                                <w:rStyle w:val="Strong"/>
                              </w:rPr>
                              <w:t xml:space="preserve">Vaccinations – </w:t>
                            </w:r>
                            <w:r>
                              <w:t xml:space="preserve">As at 12 September 2021, there have been 22,802,573 doses of COVID-19 vaccine administered in Australia. </w:t>
                            </w:r>
                          </w:p>
                          <w:p w14:paraId="3F04D521" w14:textId="77777777" w:rsidR="0099623F" w:rsidRDefault="0099623F" w:rsidP="003D5B68">
                            <w:r>
                              <w:rPr>
                                <w:rStyle w:val="Strong"/>
                              </w:rPr>
                              <w:t>Severity –</w:t>
                            </w:r>
                            <w:r>
                              <w:t xml:space="preserve"> In 2021, based on the highest level of severity reported for cases with an illness onset up to 29 August 2021, 1% of cases were reported to have died, 2% of cases required intensive care and a further 14% required admission to hospital. Given the delay between illness onset and severe illness, to provide a more accurate assessment of the highest level of severity, cases with an onset in the last two weeks were excluded from the analysis. </w:t>
                            </w:r>
                          </w:p>
                          <w:p w14:paraId="377135BF" w14:textId="77777777" w:rsidR="0099623F" w:rsidRDefault="0099623F" w:rsidP="003D5B68">
                            <w:pPr>
                              <w:pStyle w:val="Heading2"/>
                              <w:rPr>
                                <w:rFonts w:eastAsia="Times New Roman"/>
                              </w:rPr>
                            </w:pPr>
                            <w:r>
                              <w:rPr>
                                <w:rFonts w:eastAsia="Times New Roman"/>
                              </w:rPr>
                              <w:t xml:space="preserve">Four-week reporting period: </w:t>
                            </w:r>
                          </w:p>
                          <w:p w14:paraId="0D27A34D" w14:textId="77777777" w:rsidR="0099623F" w:rsidRDefault="0099623F" w:rsidP="003D5B68">
                            <w:r>
                              <w:rPr>
                                <w:rStyle w:val="Strong"/>
                              </w:rPr>
                              <w:t>Virology –</w:t>
                            </w:r>
                            <w:r>
                              <w:t xml:space="preserve"> Nationally, SARS-CoV-2 strains from 41%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11,044 samples of Delta (B.1.617.2); 554 samples of Alpha (B.1.1.7); 129 samples of Kappa (B.1.617.1); 99 samples of Beta (B.1.351); and eight samples of Gamma (P.1) in Australia. </w:t>
                            </w:r>
                          </w:p>
                          <w:p w14:paraId="44B07C51" w14:textId="6E3C64E6" w:rsidR="0099623F" w:rsidRDefault="0099623F" w:rsidP="003D5B68">
                            <w:r>
                              <w:rPr>
                                <w:rStyle w:val="Strong"/>
                              </w:rPr>
                              <w:t>International situation –</w:t>
                            </w:r>
                            <w:r>
                              <w:t xml:space="preserve"> </w:t>
                            </w:r>
                            <w:r w:rsidR="00C46870" w:rsidRPr="00C46870">
                              <w:t>According to the World Health Organization (WHO)</w:t>
                            </w:r>
                            <w:r w:rsidR="00C46870">
                              <w:t>, c</w:t>
                            </w:r>
                            <w:r>
                              <w:t xml:space="preserve">umulative global COVID-19 cases stood at more than 224 million, with over 4.6 million deaths reported globally, as of 12 September 2021. In Australia’s near region, the South East Asia and Western Pacific Regions reported almost 4.3 million </w:t>
                            </w:r>
                            <w:proofErr w:type="gramStart"/>
                            <w:r>
                              <w:t>newly-confirmed</w:t>
                            </w:r>
                            <w:proofErr w:type="gramEnd"/>
                            <w:r>
                              <w:t xml:space="preserve"> cases and almost 77,000 deaths in the four-week period to 12 September 2021.</w:t>
                            </w:r>
                          </w:p>
                          <w:p w14:paraId="419E03DF" w14:textId="77777777" w:rsidR="0099623F" w:rsidRPr="00C33618" w:rsidRDefault="0099623F" w:rsidP="003D5B68">
                            <w:pPr>
                              <w:rPr>
                                <w:lang w:val="en-GB"/>
                              </w:rPr>
                            </w:pPr>
                          </w:p>
                          <w:p w14:paraId="2479B6A6" w14:textId="77777777" w:rsidR="0099623F" w:rsidRPr="00C33618" w:rsidRDefault="0099623F" w:rsidP="003D5B68">
                            <w:pPr>
                              <w:rPr>
                                <w:lang w:val="en-GB"/>
                              </w:rPr>
                            </w:pPr>
                          </w:p>
                        </w:txbxContent>
                      </wps:txbx>
                      <wps:bodyPr rot="0" vert="horz" wrap="square" lIns="91440" tIns="45720" rIns="91440" bIns="45720" anchor="t" anchorCtr="0">
                        <a:noAutofit/>
                      </wps:bodyPr>
                    </wps:wsp>
                  </a:graphicData>
                </a:graphic>
              </wp:inline>
            </w:drawing>
          </mc:Choice>
          <mc:Fallback>
            <w:pict>
              <v:shape w14:anchorId="7E86D8FE" id="_x0000_s1027" type="#_x0000_t202" style="width:521.7pt;height:30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" fillcolor="#fde9d9 [665]" strokecolor="#fdeada" strokeweight=".25pt">
                <v:fill opacity="13107f"/>
                <v:textbox>
                  <w:txbxContent>
                    <w:p w14:paraId="2BA6F4AA" w14:textId="77777777" w:rsidR="0099623F" w:rsidRDefault="0099623F" w:rsidP="003D5B68">
                      <w:r>
                        <w:rPr>
                          <w:rStyle w:val="Strong"/>
                        </w:rPr>
                        <w:t xml:space="preserve">Vaccinations – </w:t>
                      </w:r>
                      <w:r>
                        <w:t xml:space="preserve">As at 12 September 2021, there have been 22,802,573 doses of COVID-19 vaccine administered in Australia. </w:t>
                      </w:r>
                    </w:p>
                    <w:p w14:paraId="3F04D521" w14:textId="77777777" w:rsidR="0099623F" w:rsidRDefault="0099623F" w:rsidP="003D5B68">
                      <w:r>
                        <w:rPr>
                          <w:rStyle w:val="Strong"/>
                        </w:rPr>
                        <w:t>Severity –</w:t>
                      </w:r>
                      <w:r>
                        <w:t xml:space="preserve"> In 2021, based on the highest level of severity reported for cases with an illness onset up to 29 August 2021, 1% of cases were reported to have died, 2% of cases required intensive care and a further 14% required admission to hospital. Given the delay between illness onset and severe illness, to provide a more accurate assessment of the highest level of severity, cases with an onset in the last two weeks were excluded from the analysis. </w:t>
                      </w:r>
                    </w:p>
                    <w:p w14:paraId="377135BF" w14:textId="77777777" w:rsidR="0099623F" w:rsidRDefault="0099623F" w:rsidP="003D5B68">
                      <w:pPr>
                        <w:pStyle w:val="Heading2"/>
                        <w:rPr>
                          <w:rFonts w:eastAsia="Times New Roman"/>
                        </w:rPr>
                      </w:pPr>
                      <w:r>
                        <w:rPr>
                          <w:rFonts w:eastAsia="Times New Roman"/>
                        </w:rPr>
                        <w:t xml:space="preserve">Four-week reporting period: </w:t>
                      </w:r>
                    </w:p>
                    <w:p w14:paraId="0D27A34D" w14:textId="77777777" w:rsidR="0099623F" w:rsidRDefault="0099623F" w:rsidP="003D5B68">
                      <w:r>
                        <w:rPr>
                          <w:rStyle w:val="Strong"/>
                        </w:rPr>
                        <w:t>Virology –</w:t>
                      </w:r>
                      <w:r>
                        <w:t xml:space="preserve"> Nationally, SARS-CoV-2 strains from 41% of COVID-19 cases have been sequenced during the pandemic. During 2021, there has been an increase in the number of cases infected with SARS-CoV-2 variants of concern (VOC) in Australia. </w:t>
                      </w:r>
                      <w:proofErr w:type="spellStart"/>
                      <w:r>
                        <w:t>AusTrakka</w:t>
                      </w:r>
                      <w:proofErr w:type="spellEnd"/>
                      <w:r>
                        <w:t xml:space="preserve"> is actively monitoring and reporting on these variants and has so far identified 11,044 samples of Delta (B.1.617.2); 554 samples of Alpha (B.1.1.7); 129 samples of Kappa (B.1.617.1); 99 samples of Beta (B.1.351); and eight samples of Gamma (P.1) in Australia. </w:t>
                      </w:r>
                    </w:p>
                    <w:p w14:paraId="44B07C51" w14:textId="6E3C64E6" w:rsidR="0099623F" w:rsidRDefault="0099623F" w:rsidP="003D5B68">
                      <w:r>
                        <w:rPr>
                          <w:rStyle w:val="Strong"/>
                        </w:rPr>
                        <w:t>International situation –</w:t>
                      </w:r>
                      <w:r>
                        <w:t xml:space="preserve"> </w:t>
                      </w:r>
                      <w:r w:rsidR="00C46870" w:rsidRPr="00C46870">
                        <w:t>According to the World Health Organization (WHO)</w:t>
                      </w:r>
                      <w:r w:rsidR="00C46870">
                        <w:t>, c</w:t>
                      </w:r>
                      <w:r>
                        <w:t xml:space="preserve">umulative global COVID-19 cases stood at more than 224 million, with over 4.6 million deaths reported globally, as of 12 September 2021. In Australia’s near region, the South East Asia and Western Pacific Regions reported almost 4.3 million </w:t>
                      </w:r>
                      <w:proofErr w:type="gramStart"/>
                      <w:r>
                        <w:t>newly-confirmed</w:t>
                      </w:r>
                      <w:proofErr w:type="gramEnd"/>
                      <w:r>
                        <w:t xml:space="preserve"> cases and almost 77,000 deaths in the four-week period to 12 September 2021.</w:t>
                      </w:r>
                    </w:p>
                    <w:p w14:paraId="419E03DF" w14:textId="77777777" w:rsidR="0099623F" w:rsidRPr="00C33618" w:rsidRDefault="0099623F" w:rsidP="003D5B68">
                      <w:pPr>
                        <w:rPr>
                          <w:lang w:val="en-GB"/>
                        </w:rPr>
                      </w:pPr>
                    </w:p>
                    <w:p w14:paraId="2479B6A6" w14:textId="77777777" w:rsidR="0099623F" w:rsidRPr="00C33618" w:rsidRDefault="0099623F" w:rsidP="003D5B68">
                      <w:pPr>
                        <w:rPr>
                          <w:lang w:val="en-GB"/>
                        </w:rPr>
                      </w:pPr>
                    </w:p>
                  </w:txbxContent>
                </v:textbox>
                <w10:anchorlock/>
              </v:shape>
            </w:pict>
          </mc:Fallback>
        </mc:AlternateContent>
      </w:r>
    </w:p>
    <w:p w14:paraId="5B425748" w14:textId="57A1D731" w:rsidR="00612295" w:rsidRDefault="00612295" w:rsidP="00612295">
      <w:r>
        <w:t>Keywords</w:t>
      </w:r>
      <w:r w:rsidRPr="00D57237">
        <w:rPr>
          <w:rStyle w:val="Emphasis"/>
          <w:b w:val="0"/>
          <w:bCs w:val="0"/>
        </w:rPr>
        <w:t xml:space="preserve">: SARS-CoV-2; novel coronavirus; 2019-nCoV; coronavirus disease 2019; </w:t>
      </w:r>
      <w:r>
        <w:t>COVID-19</w:t>
      </w:r>
      <w:r w:rsidRPr="00D57237">
        <w:rPr>
          <w:rStyle w:val="Emphasis"/>
          <w:b w:val="0"/>
          <w:bCs w:val="0"/>
        </w:rPr>
        <w:t xml:space="preserve">; acute respiratory disease; epidemiology; Australia </w:t>
      </w:r>
    </w:p>
    <w:p w14:paraId="0C6BF292" w14:textId="1C9FAB63" w:rsidR="004834AE" w:rsidRDefault="004834AE">
      <w:pPr>
        <w:pStyle w:val="Heading1"/>
        <w:rPr>
          <w:rFonts w:eastAsia="Times New Roman"/>
        </w:rPr>
      </w:pPr>
      <w:r>
        <w:rPr>
          <w:noProof/>
        </w:rPr>
        <mc:AlternateContent>
          <mc:Choice Requires="wps">
            <w:drawing>
              <wp:inline distT="0" distB="0" distL="0" distR="0" wp14:anchorId="347EC19E" wp14:editId="544CAAAD">
                <wp:extent cx="6629400" cy="351129"/>
                <wp:effectExtent l="0" t="0" r="19050" b="1143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1129"/>
                        </a:xfrm>
                        <a:prstGeom prst="rect">
                          <a:avLst/>
                        </a:prstGeom>
                        <a:solidFill>
                          <a:schemeClr val="bg1">
                            <a:lumMod val="95000"/>
                          </a:schemeClr>
                        </a:solidFill>
                        <a:ln w="3175">
                          <a:solidFill>
                            <a:schemeClr val="bg1">
                              <a:lumMod val="65000"/>
                            </a:schemeClr>
                          </a:solidFill>
                          <a:miter lim="800000"/>
                          <a:headEnd/>
                          <a:tailEnd/>
                        </a:ln>
                      </wps:spPr>
                      <wps:txbx>
                        <w:txbxContent>
                          <w:p w14:paraId="524ACF62" w14:textId="77777777" w:rsidR="0099623F" w:rsidRDefault="0099623F" w:rsidP="004834AE">
                            <w:pPr>
                              <w:pStyle w:val="Heading1"/>
                              <w:spacing w:before="0" w:after="0" w:line="240" w:lineRule="auto"/>
                              <w:rPr>
                                <w:rFonts w:eastAsia="Times New Roman"/>
                              </w:rPr>
                            </w:pPr>
                            <w:r>
                              <w:rPr>
                                <w:rFonts w:eastAsia="Times New Roman"/>
                              </w:rPr>
                              <w:t>Two-week reporting period (30 August–12 September 2021)</w:t>
                            </w:r>
                          </w:p>
                          <w:p w14:paraId="24459538" w14:textId="77777777" w:rsidR="0099623F" w:rsidRDefault="0099623F" w:rsidP="004834AE">
                            <w:pPr>
                              <w:pStyle w:val="Heading1"/>
                              <w:spacing w:before="240" w:line="240" w:lineRule="auto"/>
                            </w:pPr>
                          </w:p>
                        </w:txbxContent>
                      </wps:txbx>
                      <wps:bodyPr rot="0" vert="horz" wrap="square" lIns="91440" tIns="45720" rIns="91440" bIns="45720" anchor="t" anchorCtr="0">
                        <a:noAutofit/>
                      </wps:bodyPr>
                    </wps:wsp>
                  </a:graphicData>
                </a:graphic>
              </wp:inline>
            </w:drawing>
          </mc:Choice>
          <mc:Fallback>
            <w:pict>
              <v:shape w14:anchorId="347EC19E" id="_x0000_s1028" type="#_x0000_t202" style="width:522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" fillcolor="#f2f2f2 [3052]" strokecolor="#a5a5a5 [2092]" strokeweight=".25pt">
                <v:textbox>
                  <w:txbxContent>
                    <w:p w14:paraId="524ACF62" w14:textId="77777777" w:rsidR="0099623F" w:rsidRDefault="0099623F" w:rsidP="004834AE">
                      <w:pPr>
                        <w:pStyle w:val="Heading1"/>
                        <w:spacing w:before="0" w:after="0" w:line="240" w:lineRule="auto"/>
                        <w:rPr>
                          <w:rFonts w:eastAsia="Times New Roman"/>
                        </w:rPr>
                      </w:pPr>
                      <w:r>
                        <w:rPr>
                          <w:rFonts w:eastAsia="Times New Roman"/>
                        </w:rPr>
                        <w:t>Two-week reporting period (30 August–12 September 2021)</w:t>
                      </w:r>
                    </w:p>
                    <w:p w14:paraId="24459538" w14:textId="77777777" w:rsidR="0099623F" w:rsidRDefault="0099623F" w:rsidP="004834AE">
                      <w:pPr>
                        <w:pStyle w:val="Heading1"/>
                        <w:spacing w:before="240" w:line="240" w:lineRule="auto"/>
                      </w:pPr>
                    </w:p>
                  </w:txbxContent>
                </v:textbox>
                <w10:anchorlock/>
              </v:shape>
            </w:pict>
          </mc:Fallback>
        </mc:AlternateContent>
      </w:r>
    </w:p>
    <w:p w14:paraId="02070EE3" w14:textId="77777777" w:rsidR="00612295" w:rsidRDefault="00612295" w:rsidP="00D57237">
      <w:r>
        <w:t>This reporting period covers the two-week period 30 August – 12 September 2021, with data for this period compared to that from the previous two-week reporting period (16–29 August 2021).</w:t>
      </w:r>
      <w:r>
        <w:rPr>
          <w:vertAlign w:val="superscript"/>
        </w:rPr>
        <w:t>1</w:t>
      </w:r>
      <w:r>
        <w:t xml:space="preserve"> The focus of this report is on the epidemiological situation in Australia since the beginning of 2021. Readers are encouraged to consult prior reports in this series for information on the epidemiology of cases in Australia in 2020. </w:t>
      </w:r>
    </w:p>
    <w:p w14:paraId="63D2C985" w14:textId="2E3E30BC" w:rsidR="00612295" w:rsidRDefault="00612295" w:rsidP="00D57237">
      <w:r>
        <w:t>Included in this report, with a reporting period of four weeks, are sections on genomic surveillance and virology, acute respiratory illness, testing, public health response measures, and the international situation. The reporting period for these topics is 16 August – 12 September 2021.</w:t>
      </w:r>
      <w:r w:rsidR="0099623F">
        <w:rPr>
          <w:rStyle w:val="FootnoteReference"/>
        </w:rPr>
        <w:footnoteReference w:id="2"/>
      </w:r>
      <w:r>
        <w:t xml:space="preserve"> For comparability, the previous reporting period is the preceding four weeks (19 July – 15 August 2021).</w:t>
      </w:r>
      <w:r>
        <w:rPr>
          <w:vertAlign w:val="superscript"/>
        </w:rPr>
        <w:t>2</w:t>
      </w:r>
      <w:r>
        <w:t xml:space="preserve"> </w:t>
      </w:r>
    </w:p>
    <w:p w14:paraId="2889CFDB" w14:textId="77777777" w:rsidR="00612295" w:rsidRDefault="00612295" w:rsidP="00D57237">
      <w:r>
        <w:t xml:space="preserve">From report 47 onward, the section on severity is now included in the two-week reporting period, where previously a four-week reporting period had been adopted for that section. </w:t>
      </w:r>
    </w:p>
    <w:p w14:paraId="49F7DB8D" w14:textId="646AF8AC" w:rsidR="00612295" w:rsidRDefault="00612295" w:rsidP="00D57237">
      <w:r>
        <w:t>From report 46 onward, and unless otherwise specified, tabulated data and data within the text are extracted from the National Interoperable Notifiable Diseases Surveillance System (NINDSS)</w:t>
      </w:r>
      <w:r w:rsidR="0099623F">
        <w:rPr>
          <w:rStyle w:val="FootnoteReference"/>
        </w:rPr>
        <w:footnoteReference w:id="3"/>
      </w:r>
      <w:r>
        <w:t xml:space="preserve"> based on ‘notification received date’ rather than ‘diagnosis date’ (see the Technical Supplement for definitions). As a case’s diagnosis date can be several days prior to the date of its notification, there is potential for </w:t>
      </w:r>
      <w:proofErr w:type="gramStart"/>
      <w:r>
        <w:t>newly-notified</w:t>
      </w:r>
      <w:proofErr w:type="gramEnd"/>
      <w:r>
        <w:t xml:space="preserve"> cases to be excluded from the case count in the current reporting period when reporting by ‘diagnosis date’. Using ‘notification received date’ ensures </w:t>
      </w:r>
      <w:r>
        <w:lastRenderedPageBreak/>
        <w:t xml:space="preserve">that the case count for the reporting period better reflects the number of </w:t>
      </w:r>
      <w:proofErr w:type="gramStart"/>
      <w:r>
        <w:t>newly-notified</w:t>
      </w:r>
      <w:proofErr w:type="gramEnd"/>
      <w:r>
        <w:t xml:space="preserve"> cases. As the graphs presented in this report, based on NINDSS data, reflect a larger time period (i.e. year to date and entire pandemic), these will continue to be based on diagnosis date to enable a more accurate understanding of infection risk and local transmission. </w:t>
      </w:r>
    </w:p>
    <w:p w14:paraId="44AE85A4" w14:textId="77777777" w:rsidR="00612295" w:rsidRDefault="00612295">
      <w:pPr>
        <w:pStyle w:val="Heading2"/>
        <w:rPr>
          <w:rFonts w:eastAsia="Times New Roman"/>
        </w:rPr>
      </w:pPr>
      <w:r>
        <w:rPr>
          <w:rFonts w:eastAsia="Times New Roman"/>
        </w:rPr>
        <w:t xml:space="preserve">Background and data sources </w:t>
      </w:r>
    </w:p>
    <w:p w14:paraId="7649C11D" w14:textId="77777777" w:rsidR="00612295" w:rsidRDefault="00612295" w:rsidP="00D57237">
      <w:r>
        <w:t xml:space="preserve">See the Technical Supplement for general information on COVID-19 including modes of transmission, common </w:t>
      </w:r>
      <w:proofErr w:type="gramStart"/>
      <w:r>
        <w:t>symptoms</w:t>
      </w:r>
      <w:proofErr w:type="gramEnd"/>
      <w:r>
        <w:t xml:space="preserve"> and severity.</w:t>
      </w:r>
      <w:r>
        <w:rPr>
          <w:vertAlign w:val="superscript"/>
        </w:rPr>
        <w:t>3</w:t>
      </w:r>
      <w:r>
        <w:t xml:space="preserve"> </w:t>
      </w:r>
    </w:p>
    <w:p w14:paraId="06825BE4" w14:textId="77777777" w:rsidR="00612295" w:rsidRDefault="00612295">
      <w:pPr>
        <w:pStyle w:val="Heading1"/>
        <w:rPr>
          <w:rFonts w:eastAsia="Times New Roman"/>
        </w:rPr>
      </w:pPr>
      <w:r>
        <w:rPr>
          <w:rFonts w:eastAsia="Times New Roman"/>
        </w:rPr>
        <w:t xml:space="preserve">Activity </w:t>
      </w:r>
    </w:p>
    <w:p w14:paraId="520BF219" w14:textId="77777777" w:rsidR="00612295" w:rsidRDefault="00612295">
      <w:pPr>
        <w:pStyle w:val="Heading2"/>
        <w:rPr>
          <w:rFonts w:eastAsia="Times New Roman"/>
        </w:rPr>
      </w:pPr>
      <w:r>
        <w:rPr>
          <w:rFonts w:eastAsia="Times New Roman"/>
        </w:rPr>
        <w:t xml:space="preserve">COVID-19 trends </w:t>
      </w:r>
    </w:p>
    <w:p w14:paraId="2F5392BB" w14:textId="77777777" w:rsidR="00612295" w:rsidRPr="00D57237" w:rsidRDefault="00612295" w:rsidP="00D57237">
      <w:pPr>
        <w:pStyle w:val="Heading3"/>
      </w:pPr>
      <w:r w:rsidRPr="00D57237">
        <w:rPr>
          <w:rStyle w:val="Emphasis"/>
          <w:b/>
          <w:bCs/>
          <w:spacing w:val="0"/>
        </w:rPr>
        <w:t xml:space="preserve">(NINDSS and jurisdictional reporting to NIR) </w:t>
      </w:r>
    </w:p>
    <w:p w14:paraId="3430EE1F" w14:textId="6F3D22AD" w:rsidR="00612295" w:rsidRDefault="00612295" w:rsidP="00D57237">
      <w:r>
        <w:t xml:space="preserve">The number of cases reported this fortnight was 1.7 times that reported in the previous fortnight. A total of 22,766 cases were notified in this two-week reporting period (an average of 1,626 cases per day), compared to 13,076 cases (an average of 934 cases per day) in the previous reporting period. </w:t>
      </w:r>
      <w:proofErr w:type="gramStart"/>
      <w:r>
        <w:t>The majority of</w:t>
      </w:r>
      <w:proofErr w:type="gramEnd"/>
      <w:r>
        <w:t xml:space="preserve"> cases occurred in New South Wales (82%; 18,737/22,766) and Victoria (16%; 3,743/22,766). The Northern Territory and Tasmania did not report any cases during the reporting period (Table 1). </w:t>
      </w:r>
    </w:p>
    <w:p w14:paraId="51275C1F" w14:textId="77777777" w:rsidR="00AA5D2A" w:rsidRDefault="00AA5D2A" w:rsidP="00AA5D2A">
      <w:pPr>
        <w:pStyle w:val="NormalWeb"/>
        <w:rPr>
          <w:lang w:val="en-GB"/>
        </w:rPr>
      </w:pPr>
      <w:r>
        <w:rPr>
          <w:rStyle w:val="Strong"/>
          <w:lang w:val="en-GB"/>
        </w:rPr>
        <w:t>Table 1: COVID-19 notifications by jurisdiction and source of acquisition, with a notification received date of 30 August – 12 September 2021</w:t>
      </w:r>
      <w:r w:rsidRPr="00841140">
        <w:rPr>
          <w:rStyle w:val="Strong"/>
          <w:vertAlign w:val="superscript"/>
          <w:lang w:val="en-GB"/>
        </w:rPr>
        <w:t>a</w:t>
      </w:r>
    </w:p>
    <w:tbl>
      <w:tblPr>
        <w:tblStyle w:val="CDI-StandardTable"/>
        <w:tblW w:w="0" w:type="auto"/>
        <w:tblLayout w:type="fixed"/>
        <w:tblLook w:val="04A0" w:firstRow="1" w:lastRow="0" w:firstColumn="1" w:lastColumn="0" w:noHBand="0" w:noVBand="1"/>
        <w:tblDescription w:val="Table 1 shows COVID-19 notifications by jurisdiction and by source of acquisition, for cases with a notification received date within the current fortnightly reporting period. There were 22,766 cases notified in the current reporting period, of which 20,671 were acquired locally, 2,043 were under initial investigation, 48 were acquired overseas, and 4 were missing source of acquisition. Cases were predominantly notified in New South Wales (18,737), with most of these cases (18,344) locally acquired. Other jurisdictions reporting cases in this reporting period were Victoria (3,743 cases overall) , the Australian Capital Territory (251), Queensland (20), South Australia (13) and Western Australia (2). The Northern Territory and Tasmania notified no cases in the current fortnightly reporting period."/>
      </w:tblPr>
      <w:tblGrid>
        <w:gridCol w:w="2696"/>
        <w:gridCol w:w="832"/>
        <w:gridCol w:w="833"/>
        <w:gridCol w:w="832"/>
        <w:gridCol w:w="833"/>
        <w:gridCol w:w="832"/>
        <w:gridCol w:w="833"/>
        <w:gridCol w:w="832"/>
        <w:gridCol w:w="833"/>
        <w:gridCol w:w="1084"/>
      </w:tblGrid>
      <w:tr w:rsidR="00AA5D2A" w:rsidRPr="00841140" w14:paraId="419F4B81"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2696" w:type="dxa"/>
            <w:tcBorders>
              <w:right w:val="single" w:sz="2" w:space="0" w:color="FFFFFF" w:themeColor="background1"/>
            </w:tcBorders>
            <w:hideMark/>
          </w:tcPr>
          <w:p w14:paraId="6E05E255" w14:textId="77777777" w:rsidR="00AA5D2A" w:rsidRPr="00841140" w:rsidRDefault="00AA5D2A" w:rsidP="00D46D62">
            <w:pPr>
              <w:pStyle w:val="NormalWeb"/>
              <w:rPr>
                <w:color w:val="FFFFFF" w:themeColor="background1"/>
              </w:rPr>
            </w:pPr>
            <w:proofErr w:type="spellStart"/>
            <w:r w:rsidRPr="00841140">
              <w:rPr>
                <w:color w:val="FFFFFF" w:themeColor="background1"/>
              </w:rPr>
              <w:t>Source</w:t>
            </w:r>
            <w:r w:rsidRPr="00841140">
              <w:rPr>
                <w:color w:val="FFFFFF" w:themeColor="background1"/>
                <w:vertAlign w:val="superscript"/>
              </w:rPr>
              <w:t>b</w:t>
            </w:r>
            <w:proofErr w:type="spellEnd"/>
          </w:p>
        </w:tc>
        <w:tc>
          <w:tcPr>
            <w:tcW w:w="832" w:type="dxa"/>
            <w:tcBorders>
              <w:left w:val="single" w:sz="2" w:space="0" w:color="FFFFFF" w:themeColor="background1"/>
              <w:right w:val="single" w:sz="2" w:space="0" w:color="FFFFFF" w:themeColor="background1"/>
            </w:tcBorders>
            <w:hideMark/>
          </w:tcPr>
          <w:p w14:paraId="72C8C53F" w14:textId="77777777" w:rsidR="00AA5D2A" w:rsidRPr="00841140" w:rsidRDefault="00AA5D2A" w:rsidP="00D46D62">
            <w:pPr>
              <w:pStyle w:val="NormalWeb"/>
              <w:jc w:val="center"/>
              <w:rPr>
                <w:color w:val="FFFFFF" w:themeColor="background1"/>
              </w:rPr>
            </w:pPr>
            <w:r w:rsidRPr="00841140">
              <w:rPr>
                <w:color w:val="FFFFFF" w:themeColor="background1"/>
              </w:rPr>
              <w:t>ACT</w:t>
            </w:r>
          </w:p>
        </w:tc>
        <w:tc>
          <w:tcPr>
            <w:tcW w:w="833" w:type="dxa"/>
            <w:tcBorders>
              <w:left w:val="single" w:sz="2" w:space="0" w:color="FFFFFF" w:themeColor="background1"/>
              <w:right w:val="single" w:sz="2" w:space="0" w:color="FFFFFF" w:themeColor="background1"/>
            </w:tcBorders>
            <w:hideMark/>
          </w:tcPr>
          <w:p w14:paraId="1B43F128" w14:textId="77777777" w:rsidR="00AA5D2A" w:rsidRPr="00841140" w:rsidRDefault="00AA5D2A" w:rsidP="00D46D62">
            <w:pPr>
              <w:pStyle w:val="NormalWeb"/>
              <w:jc w:val="center"/>
              <w:rPr>
                <w:color w:val="FFFFFF" w:themeColor="background1"/>
              </w:rPr>
            </w:pPr>
            <w:r w:rsidRPr="00841140">
              <w:rPr>
                <w:color w:val="FFFFFF" w:themeColor="background1"/>
              </w:rPr>
              <w:t>NSW</w:t>
            </w:r>
          </w:p>
        </w:tc>
        <w:tc>
          <w:tcPr>
            <w:tcW w:w="832" w:type="dxa"/>
            <w:tcBorders>
              <w:left w:val="single" w:sz="2" w:space="0" w:color="FFFFFF" w:themeColor="background1"/>
              <w:right w:val="single" w:sz="2" w:space="0" w:color="FFFFFF" w:themeColor="background1"/>
            </w:tcBorders>
            <w:hideMark/>
          </w:tcPr>
          <w:p w14:paraId="18875B55" w14:textId="77777777" w:rsidR="00AA5D2A" w:rsidRPr="00841140" w:rsidRDefault="00AA5D2A" w:rsidP="00D46D62">
            <w:pPr>
              <w:pStyle w:val="NormalWeb"/>
              <w:jc w:val="center"/>
              <w:rPr>
                <w:color w:val="FFFFFF" w:themeColor="background1"/>
              </w:rPr>
            </w:pPr>
            <w:r w:rsidRPr="00841140">
              <w:rPr>
                <w:color w:val="FFFFFF" w:themeColor="background1"/>
              </w:rPr>
              <w:t>NT</w:t>
            </w:r>
          </w:p>
        </w:tc>
        <w:tc>
          <w:tcPr>
            <w:tcW w:w="833" w:type="dxa"/>
            <w:tcBorders>
              <w:left w:val="single" w:sz="2" w:space="0" w:color="FFFFFF" w:themeColor="background1"/>
              <w:right w:val="single" w:sz="2" w:space="0" w:color="FFFFFF" w:themeColor="background1"/>
            </w:tcBorders>
            <w:hideMark/>
          </w:tcPr>
          <w:p w14:paraId="1BC79084" w14:textId="77777777" w:rsidR="00AA5D2A" w:rsidRPr="00841140" w:rsidRDefault="00AA5D2A" w:rsidP="00D46D62">
            <w:pPr>
              <w:pStyle w:val="NormalWeb"/>
              <w:jc w:val="center"/>
              <w:rPr>
                <w:color w:val="FFFFFF" w:themeColor="background1"/>
              </w:rPr>
            </w:pPr>
            <w:r w:rsidRPr="00841140">
              <w:rPr>
                <w:color w:val="FFFFFF" w:themeColor="background1"/>
              </w:rPr>
              <w:t>Qld</w:t>
            </w:r>
          </w:p>
        </w:tc>
        <w:tc>
          <w:tcPr>
            <w:tcW w:w="832" w:type="dxa"/>
            <w:tcBorders>
              <w:left w:val="single" w:sz="2" w:space="0" w:color="FFFFFF" w:themeColor="background1"/>
              <w:right w:val="single" w:sz="2" w:space="0" w:color="FFFFFF" w:themeColor="background1"/>
            </w:tcBorders>
            <w:hideMark/>
          </w:tcPr>
          <w:p w14:paraId="51FFDA1D" w14:textId="77777777" w:rsidR="00AA5D2A" w:rsidRPr="00841140" w:rsidRDefault="00AA5D2A" w:rsidP="00D46D62">
            <w:pPr>
              <w:pStyle w:val="NormalWeb"/>
              <w:jc w:val="center"/>
              <w:rPr>
                <w:color w:val="FFFFFF" w:themeColor="background1"/>
              </w:rPr>
            </w:pPr>
            <w:r w:rsidRPr="00841140">
              <w:rPr>
                <w:color w:val="FFFFFF" w:themeColor="background1"/>
              </w:rPr>
              <w:t>SA</w:t>
            </w:r>
          </w:p>
        </w:tc>
        <w:tc>
          <w:tcPr>
            <w:tcW w:w="833" w:type="dxa"/>
            <w:tcBorders>
              <w:left w:val="single" w:sz="2" w:space="0" w:color="FFFFFF" w:themeColor="background1"/>
              <w:right w:val="single" w:sz="2" w:space="0" w:color="FFFFFF" w:themeColor="background1"/>
            </w:tcBorders>
            <w:hideMark/>
          </w:tcPr>
          <w:p w14:paraId="5F5F7349" w14:textId="77777777" w:rsidR="00AA5D2A" w:rsidRPr="00841140" w:rsidRDefault="00AA5D2A" w:rsidP="00D46D62">
            <w:pPr>
              <w:pStyle w:val="NormalWeb"/>
              <w:jc w:val="center"/>
              <w:rPr>
                <w:color w:val="FFFFFF" w:themeColor="background1"/>
              </w:rPr>
            </w:pPr>
            <w:r w:rsidRPr="00841140">
              <w:rPr>
                <w:color w:val="FFFFFF" w:themeColor="background1"/>
              </w:rPr>
              <w:t>Tas.</w:t>
            </w:r>
          </w:p>
        </w:tc>
        <w:tc>
          <w:tcPr>
            <w:tcW w:w="832" w:type="dxa"/>
            <w:tcBorders>
              <w:left w:val="single" w:sz="2" w:space="0" w:color="FFFFFF" w:themeColor="background1"/>
              <w:right w:val="single" w:sz="2" w:space="0" w:color="FFFFFF" w:themeColor="background1"/>
            </w:tcBorders>
            <w:hideMark/>
          </w:tcPr>
          <w:p w14:paraId="6BD68ECF" w14:textId="77777777" w:rsidR="00AA5D2A" w:rsidRPr="00841140" w:rsidRDefault="00AA5D2A" w:rsidP="00D46D62">
            <w:pPr>
              <w:pStyle w:val="NormalWeb"/>
              <w:jc w:val="center"/>
              <w:rPr>
                <w:color w:val="FFFFFF" w:themeColor="background1"/>
              </w:rPr>
            </w:pPr>
            <w:r w:rsidRPr="00841140">
              <w:rPr>
                <w:color w:val="FFFFFF" w:themeColor="background1"/>
              </w:rPr>
              <w:t>Vic.</w:t>
            </w:r>
          </w:p>
        </w:tc>
        <w:tc>
          <w:tcPr>
            <w:tcW w:w="833" w:type="dxa"/>
            <w:tcBorders>
              <w:left w:val="single" w:sz="2" w:space="0" w:color="FFFFFF" w:themeColor="background1"/>
              <w:right w:val="single" w:sz="2" w:space="0" w:color="FFFFFF" w:themeColor="background1"/>
            </w:tcBorders>
            <w:hideMark/>
          </w:tcPr>
          <w:p w14:paraId="21318C7E" w14:textId="77777777" w:rsidR="00AA5D2A" w:rsidRPr="00841140" w:rsidRDefault="00AA5D2A" w:rsidP="00D46D62">
            <w:pPr>
              <w:pStyle w:val="NormalWeb"/>
              <w:jc w:val="center"/>
              <w:rPr>
                <w:color w:val="FFFFFF" w:themeColor="background1"/>
              </w:rPr>
            </w:pPr>
            <w:r w:rsidRPr="00841140">
              <w:rPr>
                <w:color w:val="FFFFFF" w:themeColor="background1"/>
              </w:rPr>
              <w:t>WA</w:t>
            </w:r>
          </w:p>
        </w:tc>
        <w:tc>
          <w:tcPr>
            <w:tcW w:w="1084" w:type="dxa"/>
            <w:tcBorders>
              <w:left w:val="single" w:sz="2" w:space="0" w:color="FFFFFF" w:themeColor="background1"/>
            </w:tcBorders>
            <w:hideMark/>
          </w:tcPr>
          <w:p w14:paraId="04E789D4" w14:textId="77777777" w:rsidR="00AA5D2A" w:rsidRPr="00841140" w:rsidRDefault="00AA5D2A" w:rsidP="00D46D62">
            <w:pPr>
              <w:pStyle w:val="NormalWeb"/>
              <w:jc w:val="center"/>
              <w:rPr>
                <w:color w:val="FFFFFF" w:themeColor="background1"/>
              </w:rPr>
            </w:pPr>
            <w:r w:rsidRPr="00841140">
              <w:rPr>
                <w:color w:val="FFFFFF" w:themeColor="background1"/>
              </w:rPr>
              <w:t>Australia</w:t>
            </w:r>
          </w:p>
        </w:tc>
      </w:tr>
      <w:tr w:rsidR="00AA5D2A" w14:paraId="24AF36C3" w14:textId="77777777" w:rsidTr="00D46D62">
        <w:tblPrEx>
          <w:tblCellMar>
            <w:top w:w="57" w:type="dxa"/>
            <w:left w:w="57" w:type="dxa"/>
            <w:bottom w:w="57" w:type="dxa"/>
            <w:right w:w="57" w:type="dxa"/>
          </w:tblCellMar>
        </w:tblPrEx>
        <w:tc>
          <w:tcPr>
            <w:tcW w:w="2696" w:type="dxa"/>
            <w:hideMark/>
          </w:tcPr>
          <w:p w14:paraId="17206444" w14:textId="77777777" w:rsidR="00AA5D2A" w:rsidRDefault="00AA5D2A" w:rsidP="00D46D62">
            <w:pPr>
              <w:pStyle w:val="NormalWeb"/>
            </w:pPr>
            <w:r>
              <w:t>Overseas</w:t>
            </w:r>
          </w:p>
        </w:tc>
        <w:tc>
          <w:tcPr>
            <w:tcW w:w="832" w:type="dxa"/>
            <w:hideMark/>
          </w:tcPr>
          <w:p w14:paraId="50B3345B" w14:textId="77777777" w:rsidR="00AA5D2A" w:rsidRDefault="00AA5D2A" w:rsidP="00D46D62">
            <w:pPr>
              <w:pStyle w:val="NormalWeb"/>
              <w:jc w:val="center"/>
            </w:pPr>
            <w:r>
              <w:t>0</w:t>
            </w:r>
          </w:p>
        </w:tc>
        <w:tc>
          <w:tcPr>
            <w:tcW w:w="833" w:type="dxa"/>
            <w:hideMark/>
          </w:tcPr>
          <w:p w14:paraId="05EC74FB" w14:textId="77777777" w:rsidR="00AA5D2A" w:rsidRDefault="00AA5D2A" w:rsidP="00D46D62">
            <w:pPr>
              <w:pStyle w:val="NormalWeb"/>
              <w:jc w:val="center"/>
            </w:pPr>
            <w:r>
              <w:t>24</w:t>
            </w:r>
          </w:p>
        </w:tc>
        <w:tc>
          <w:tcPr>
            <w:tcW w:w="832" w:type="dxa"/>
            <w:hideMark/>
          </w:tcPr>
          <w:p w14:paraId="5B508691" w14:textId="77777777" w:rsidR="00AA5D2A" w:rsidRDefault="00AA5D2A" w:rsidP="00D46D62">
            <w:pPr>
              <w:pStyle w:val="NormalWeb"/>
              <w:jc w:val="center"/>
            </w:pPr>
            <w:r>
              <w:t>0</w:t>
            </w:r>
          </w:p>
        </w:tc>
        <w:tc>
          <w:tcPr>
            <w:tcW w:w="833" w:type="dxa"/>
            <w:hideMark/>
          </w:tcPr>
          <w:p w14:paraId="3B474A28" w14:textId="77777777" w:rsidR="00AA5D2A" w:rsidRDefault="00AA5D2A" w:rsidP="00D46D62">
            <w:pPr>
              <w:pStyle w:val="NormalWeb"/>
              <w:jc w:val="center"/>
            </w:pPr>
            <w:r>
              <w:t>8</w:t>
            </w:r>
          </w:p>
        </w:tc>
        <w:tc>
          <w:tcPr>
            <w:tcW w:w="832" w:type="dxa"/>
            <w:hideMark/>
          </w:tcPr>
          <w:p w14:paraId="38F4C66F" w14:textId="77777777" w:rsidR="00AA5D2A" w:rsidRDefault="00AA5D2A" w:rsidP="00D46D62">
            <w:pPr>
              <w:pStyle w:val="NormalWeb"/>
              <w:jc w:val="center"/>
            </w:pPr>
            <w:r>
              <w:t>10</w:t>
            </w:r>
          </w:p>
        </w:tc>
        <w:tc>
          <w:tcPr>
            <w:tcW w:w="833" w:type="dxa"/>
            <w:hideMark/>
          </w:tcPr>
          <w:p w14:paraId="216D6B5D" w14:textId="77777777" w:rsidR="00AA5D2A" w:rsidRDefault="00AA5D2A" w:rsidP="00D46D62">
            <w:pPr>
              <w:pStyle w:val="NormalWeb"/>
              <w:jc w:val="center"/>
            </w:pPr>
            <w:r>
              <w:t>0</w:t>
            </w:r>
          </w:p>
        </w:tc>
        <w:tc>
          <w:tcPr>
            <w:tcW w:w="832" w:type="dxa"/>
            <w:hideMark/>
          </w:tcPr>
          <w:p w14:paraId="7DBC9CDB" w14:textId="77777777" w:rsidR="00AA5D2A" w:rsidRDefault="00AA5D2A" w:rsidP="00D46D62">
            <w:pPr>
              <w:pStyle w:val="NormalWeb"/>
              <w:jc w:val="center"/>
            </w:pPr>
            <w:r>
              <w:t>5</w:t>
            </w:r>
          </w:p>
        </w:tc>
        <w:tc>
          <w:tcPr>
            <w:tcW w:w="833" w:type="dxa"/>
            <w:hideMark/>
          </w:tcPr>
          <w:p w14:paraId="47DA881A" w14:textId="77777777" w:rsidR="00AA5D2A" w:rsidRDefault="00AA5D2A" w:rsidP="00D46D62">
            <w:pPr>
              <w:pStyle w:val="NormalWeb"/>
              <w:jc w:val="center"/>
            </w:pPr>
            <w:r>
              <w:t>1</w:t>
            </w:r>
          </w:p>
        </w:tc>
        <w:tc>
          <w:tcPr>
            <w:tcW w:w="1084" w:type="dxa"/>
            <w:hideMark/>
          </w:tcPr>
          <w:p w14:paraId="25A421BE" w14:textId="77777777" w:rsidR="00AA5D2A" w:rsidRDefault="00AA5D2A" w:rsidP="00D46D62">
            <w:pPr>
              <w:pStyle w:val="NormalWeb"/>
              <w:jc w:val="center"/>
            </w:pPr>
            <w:r>
              <w:t>48</w:t>
            </w:r>
          </w:p>
        </w:tc>
      </w:tr>
      <w:tr w:rsidR="00AA5D2A" w14:paraId="1B33979B"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6" w:type="dxa"/>
            <w:hideMark/>
          </w:tcPr>
          <w:p w14:paraId="70D4AE47" w14:textId="77777777" w:rsidR="00AA5D2A" w:rsidRDefault="00AA5D2A" w:rsidP="00D46D62">
            <w:pPr>
              <w:pStyle w:val="NormalWeb"/>
            </w:pPr>
            <w:r>
              <w:t>Local</w:t>
            </w:r>
          </w:p>
        </w:tc>
        <w:tc>
          <w:tcPr>
            <w:tcW w:w="832" w:type="dxa"/>
            <w:hideMark/>
          </w:tcPr>
          <w:p w14:paraId="2A2ED906" w14:textId="77777777" w:rsidR="00AA5D2A" w:rsidRDefault="00AA5D2A" w:rsidP="00D46D62">
            <w:pPr>
              <w:pStyle w:val="NormalWeb"/>
              <w:jc w:val="center"/>
            </w:pPr>
            <w:r>
              <w:t>248</w:t>
            </w:r>
          </w:p>
        </w:tc>
        <w:tc>
          <w:tcPr>
            <w:tcW w:w="833" w:type="dxa"/>
            <w:hideMark/>
          </w:tcPr>
          <w:p w14:paraId="62487F23" w14:textId="77777777" w:rsidR="00AA5D2A" w:rsidRDefault="00AA5D2A" w:rsidP="00D46D62">
            <w:pPr>
              <w:pStyle w:val="NormalWeb"/>
              <w:jc w:val="center"/>
            </w:pPr>
            <w:r>
              <w:t>18,344</w:t>
            </w:r>
          </w:p>
        </w:tc>
        <w:tc>
          <w:tcPr>
            <w:tcW w:w="832" w:type="dxa"/>
            <w:hideMark/>
          </w:tcPr>
          <w:p w14:paraId="12425841" w14:textId="77777777" w:rsidR="00AA5D2A" w:rsidRDefault="00AA5D2A" w:rsidP="00D46D62">
            <w:pPr>
              <w:pStyle w:val="NormalWeb"/>
              <w:jc w:val="center"/>
            </w:pPr>
            <w:r>
              <w:t>0</w:t>
            </w:r>
          </w:p>
        </w:tc>
        <w:tc>
          <w:tcPr>
            <w:tcW w:w="833" w:type="dxa"/>
            <w:hideMark/>
          </w:tcPr>
          <w:p w14:paraId="164076BB" w14:textId="77777777" w:rsidR="00AA5D2A" w:rsidRDefault="00AA5D2A" w:rsidP="00D46D62">
            <w:pPr>
              <w:pStyle w:val="NormalWeb"/>
              <w:jc w:val="center"/>
            </w:pPr>
            <w:r>
              <w:t>9</w:t>
            </w:r>
          </w:p>
        </w:tc>
        <w:tc>
          <w:tcPr>
            <w:tcW w:w="832" w:type="dxa"/>
            <w:hideMark/>
          </w:tcPr>
          <w:p w14:paraId="4217917D" w14:textId="77777777" w:rsidR="00AA5D2A" w:rsidRDefault="00AA5D2A" w:rsidP="00D46D62">
            <w:pPr>
              <w:pStyle w:val="NormalWeb"/>
              <w:jc w:val="center"/>
            </w:pPr>
            <w:r>
              <w:t>2</w:t>
            </w:r>
          </w:p>
        </w:tc>
        <w:tc>
          <w:tcPr>
            <w:tcW w:w="833" w:type="dxa"/>
            <w:hideMark/>
          </w:tcPr>
          <w:p w14:paraId="1D355309" w14:textId="77777777" w:rsidR="00AA5D2A" w:rsidRDefault="00AA5D2A" w:rsidP="00D46D62">
            <w:pPr>
              <w:pStyle w:val="NormalWeb"/>
              <w:jc w:val="center"/>
            </w:pPr>
            <w:r>
              <w:t>0</w:t>
            </w:r>
          </w:p>
        </w:tc>
        <w:tc>
          <w:tcPr>
            <w:tcW w:w="832" w:type="dxa"/>
            <w:hideMark/>
          </w:tcPr>
          <w:p w14:paraId="21BF45F4" w14:textId="77777777" w:rsidR="00AA5D2A" w:rsidRDefault="00AA5D2A" w:rsidP="00D46D62">
            <w:pPr>
              <w:pStyle w:val="NormalWeb"/>
              <w:jc w:val="center"/>
            </w:pPr>
            <w:r>
              <w:t>2,068</w:t>
            </w:r>
          </w:p>
        </w:tc>
        <w:tc>
          <w:tcPr>
            <w:tcW w:w="833" w:type="dxa"/>
            <w:hideMark/>
          </w:tcPr>
          <w:p w14:paraId="41EB78A2" w14:textId="77777777" w:rsidR="00AA5D2A" w:rsidRDefault="00AA5D2A" w:rsidP="00D46D62">
            <w:pPr>
              <w:pStyle w:val="NormalWeb"/>
              <w:jc w:val="center"/>
            </w:pPr>
            <w:r>
              <w:t>0</w:t>
            </w:r>
          </w:p>
        </w:tc>
        <w:tc>
          <w:tcPr>
            <w:tcW w:w="1084" w:type="dxa"/>
            <w:hideMark/>
          </w:tcPr>
          <w:p w14:paraId="017FB446" w14:textId="77777777" w:rsidR="00AA5D2A" w:rsidRDefault="00AA5D2A" w:rsidP="00D46D62">
            <w:pPr>
              <w:pStyle w:val="NormalWeb"/>
              <w:jc w:val="center"/>
            </w:pPr>
            <w:r>
              <w:t>20,671</w:t>
            </w:r>
          </w:p>
        </w:tc>
      </w:tr>
      <w:tr w:rsidR="00AA5D2A" w14:paraId="3AF0DF18" w14:textId="77777777" w:rsidTr="00D46D62">
        <w:tblPrEx>
          <w:tblCellMar>
            <w:top w:w="57" w:type="dxa"/>
            <w:left w:w="57" w:type="dxa"/>
            <w:bottom w:w="57" w:type="dxa"/>
            <w:right w:w="57" w:type="dxa"/>
          </w:tblCellMar>
        </w:tblPrEx>
        <w:tc>
          <w:tcPr>
            <w:tcW w:w="2696" w:type="dxa"/>
            <w:hideMark/>
          </w:tcPr>
          <w:p w14:paraId="254BD54D" w14:textId="77777777" w:rsidR="00AA5D2A" w:rsidRDefault="00AA5D2A" w:rsidP="00D46D62">
            <w:pPr>
              <w:pStyle w:val="NormalWeb"/>
            </w:pPr>
            <w:r>
              <w:t>source known</w:t>
            </w:r>
          </w:p>
        </w:tc>
        <w:tc>
          <w:tcPr>
            <w:tcW w:w="832" w:type="dxa"/>
            <w:hideMark/>
          </w:tcPr>
          <w:p w14:paraId="6942AE98" w14:textId="77777777" w:rsidR="00AA5D2A" w:rsidRDefault="00AA5D2A" w:rsidP="00D46D62">
            <w:pPr>
              <w:pStyle w:val="NormalWeb"/>
              <w:jc w:val="center"/>
            </w:pPr>
            <w:r>
              <w:t>211</w:t>
            </w:r>
          </w:p>
        </w:tc>
        <w:tc>
          <w:tcPr>
            <w:tcW w:w="833" w:type="dxa"/>
            <w:hideMark/>
          </w:tcPr>
          <w:p w14:paraId="3E30E794" w14:textId="77777777" w:rsidR="00AA5D2A" w:rsidRDefault="00AA5D2A" w:rsidP="00D46D62">
            <w:pPr>
              <w:pStyle w:val="NormalWeb"/>
              <w:jc w:val="center"/>
            </w:pPr>
            <w:r>
              <w:t>3,403</w:t>
            </w:r>
          </w:p>
        </w:tc>
        <w:tc>
          <w:tcPr>
            <w:tcW w:w="832" w:type="dxa"/>
            <w:hideMark/>
          </w:tcPr>
          <w:p w14:paraId="7530FF90" w14:textId="77777777" w:rsidR="00AA5D2A" w:rsidRDefault="00AA5D2A" w:rsidP="00D46D62">
            <w:pPr>
              <w:pStyle w:val="NormalWeb"/>
              <w:jc w:val="center"/>
            </w:pPr>
            <w:r>
              <w:t>0</w:t>
            </w:r>
          </w:p>
        </w:tc>
        <w:tc>
          <w:tcPr>
            <w:tcW w:w="833" w:type="dxa"/>
            <w:hideMark/>
          </w:tcPr>
          <w:p w14:paraId="73C93F9B" w14:textId="77777777" w:rsidR="00AA5D2A" w:rsidRDefault="00AA5D2A" w:rsidP="00D46D62">
            <w:pPr>
              <w:pStyle w:val="NormalWeb"/>
              <w:jc w:val="center"/>
            </w:pPr>
            <w:r>
              <w:t>9</w:t>
            </w:r>
          </w:p>
        </w:tc>
        <w:tc>
          <w:tcPr>
            <w:tcW w:w="832" w:type="dxa"/>
            <w:hideMark/>
          </w:tcPr>
          <w:p w14:paraId="0A9A06BC" w14:textId="77777777" w:rsidR="00AA5D2A" w:rsidRDefault="00AA5D2A" w:rsidP="00D46D62">
            <w:pPr>
              <w:pStyle w:val="NormalWeb"/>
              <w:jc w:val="center"/>
            </w:pPr>
            <w:r>
              <w:t>0</w:t>
            </w:r>
          </w:p>
        </w:tc>
        <w:tc>
          <w:tcPr>
            <w:tcW w:w="833" w:type="dxa"/>
            <w:hideMark/>
          </w:tcPr>
          <w:p w14:paraId="520123A7" w14:textId="77777777" w:rsidR="00AA5D2A" w:rsidRDefault="00AA5D2A" w:rsidP="00D46D62">
            <w:pPr>
              <w:pStyle w:val="NormalWeb"/>
              <w:jc w:val="center"/>
            </w:pPr>
            <w:r>
              <w:t>0</w:t>
            </w:r>
          </w:p>
        </w:tc>
        <w:tc>
          <w:tcPr>
            <w:tcW w:w="832" w:type="dxa"/>
            <w:hideMark/>
          </w:tcPr>
          <w:p w14:paraId="10C190D7" w14:textId="77777777" w:rsidR="00AA5D2A" w:rsidRDefault="00AA5D2A" w:rsidP="00D46D62">
            <w:pPr>
              <w:pStyle w:val="NormalWeb"/>
              <w:jc w:val="center"/>
            </w:pPr>
            <w:r>
              <w:t>2,067</w:t>
            </w:r>
          </w:p>
        </w:tc>
        <w:tc>
          <w:tcPr>
            <w:tcW w:w="833" w:type="dxa"/>
            <w:hideMark/>
          </w:tcPr>
          <w:p w14:paraId="6CDE5368" w14:textId="77777777" w:rsidR="00AA5D2A" w:rsidRDefault="00AA5D2A" w:rsidP="00D46D62">
            <w:pPr>
              <w:pStyle w:val="NormalWeb"/>
              <w:jc w:val="center"/>
            </w:pPr>
            <w:r>
              <w:t>0</w:t>
            </w:r>
          </w:p>
        </w:tc>
        <w:tc>
          <w:tcPr>
            <w:tcW w:w="1084" w:type="dxa"/>
            <w:hideMark/>
          </w:tcPr>
          <w:p w14:paraId="2832ABAD" w14:textId="77777777" w:rsidR="00AA5D2A" w:rsidRDefault="00AA5D2A" w:rsidP="00D46D62">
            <w:pPr>
              <w:pStyle w:val="NormalWeb"/>
              <w:jc w:val="center"/>
            </w:pPr>
            <w:r>
              <w:t>5,690</w:t>
            </w:r>
          </w:p>
        </w:tc>
      </w:tr>
      <w:tr w:rsidR="00AA5D2A" w14:paraId="56984816"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6" w:type="dxa"/>
            <w:hideMark/>
          </w:tcPr>
          <w:p w14:paraId="45AB6DFD" w14:textId="77777777" w:rsidR="00AA5D2A" w:rsidRDefault="00AA5D2A" w:rsidP="00D46D62">
            <w:pPr>
              <w:pStyle w:val="NormalWeb"/>
            </w:pPr>
            <w:r>
              <w:t>source unknown</w:t>
            </w:r>
          </w:p>
        </w:tc>
        <w:tc>
          <w:tcPr>
            <w:tcW w:w="832" w:type="dxa"/>
            <w:hideMark/>
          </w:tcPr>
          <w:p w14:paraId="5CA76DAE" w14:textId="77777777" w:rsidR="00AA5D2A" w:rsidRDefault="00AA5D2A" w:rsidP="00D46D62">
            <w:pPr>
              <w:pStyle w:val="NormalWeb"/>
              <w:jc w:val="center"/>
            </w:pPr>
            <w:r>
              <w:t>33</w:t>
            </w:r>
          </w:p>
        </w:tc>
        <w:tc>
          <w:tcPr>
            <w:tcW w:w="833" w:type="dxa"/>
            <w:hideMark/>
          </w:tcPr>
          <w:p w14:paraId="1E27A632" w14:textId="77777777" w:rsidR="00AA5D2A" w:rsidRDefault="00AA5D2A" w:rsidP="00D46D62">
            <w:pPr>
              <w:pStyle w:val="NormalWeb"/>
              <w:jc w:val="center"/>
            </w:pPr>
            <w:r>
              <w:t>107</w:t>
            </w:r>
          </w:p>
        </w:tc>
        <w:tc>
          <w:tcPr>
            <w:tcW w:w="832" w:type="dxa"/>
            <w:hideMark/>
          </w:tcPr>
          <w:p w14:paraId="721F9AE9" w14:textId="77777777" w:rsidR="00AA5D2A" w:rsidRDefault="00AA5D2A" w:rsidP="00D46D62">
            <w:pPr>
              <w:pStyle w:val="NormalWeb"/>
              <w:jc w:val="center"/>
            </w:pPr>
            <w:r>
              <w:t>0</w:t>
            </w:r>
          </w:p>
        </w:tc>
        <w:tc>
          <w:tcPr>
            <w:tcW w:w="833" w:type="dxa"/>
            <w:hideMark/>
          </w:tcPr>
          <w:p w14:paraId="4186D92D" w14:textId="77777777" w:rsidR="00AA5D2A" w:rsidRDefault="00AA5D2A" w:rsidP="00D46D62">
            <w:pPr>
              <w:pStyle w:val="NormalWeb"/>
              <w:jc w:val="center"/>
            </w:pPr>
            <w:r>
              <w:t>0</w:t>
            </w:r>
          </w:p>
        </w:tc>
        <w:tc>
          <w:tcPr>
            <w:tcW w:w="832" w:type="dxa"/>
            <w:hideMark/>
          </w:tcPr>
          <w:p w14:paraId="6D4668FD" w14:textId="77777777" w:rsidR="00AA5D2A" w:rsidRDefault="00AA5D2A" w:rsidP="00D46D62">
            <w:pPr>
              <w:pStyle w:val="NormalWeb"/>
              <w:jc w:val="center"/>
            </w:pPr>
            <w:r>
              <w:t>0</w:t>
            </w:r>
          </w:p>
        </w:tc>
        <w:tc>
          <w:tcPr>
            <w:tcW w:w="833" w:type="dxa"/>
            <w:hideMark/>
          </w:tcPr>
          <w:p w14:paraId="4136A35A" w14:textId="77777777" w:rsidR="00AA5D2A" w:rsidRDefault="00AA5D2A" w:rsidP="00D46D62">
            <w:pPr>
              <w:pStyle w:val="NormalWeb"/>
              <w:jc w:val="center"/>
            </w:pPr>
            <w:r>
              <w:t>0</w:t>
            </w:r>
          </w:p>
        </w:tc>
        <w:tc>
          <w:tcPr>
            <w:tcW w:w="832" w:type="dxa"/>
            <w:hideMark/>
          </w:tcPr>
          <w:p w14:paraId="68258DD5" w14:textId="77777777" w:rsidR="00AA5D2A" w:rsidRDefault="00AA5D2A" w:rsidP="00D46D62">
            <w:pPr>
              <w:pStyle w:val="NormalWeb"/>
              <w:jc w:val="center"/>
            </w:pPr>
            <w:r>
              <w:t>1</w:t>
            </w:r>
          </w:p>
        </w:tc>
        <w:tc>
          <w:tcPr>
            <w:tcW w:w="833" w:type="dxa"/>
            <w:hideMark/>
          </w:tcPr>
          <w:p w14:paraId="03BF11EE" w14:textId="77777777" w:rsidR="00AA5D2A" w:rsidRDefault="00AA5D2A" w:rsidP="00D46D62">
            <w:pPr>
              <w:pStyle w:val="NormalWeb"/>
              <w:jc w:val="center"/>
            </w:pPr>
            <w:r>
              <w:t>0</w:t>
            </w:r>
          </w:p>
        </w:tc>
        <w:tc>
          <w:tcPr>
            <w:tcW w:w="1084" w:type="dxa"/>
            <w:hideMark/>
          </w:tcPr>
          <w:p w14:paraId="541F7A01" w14:textId="77777777" w:rsidR="00AA5D2A" w:rsidRDefault="00AA5D2A" w:rsidP="00D46D62">
            <w:pPr>
              <w:pStyle w:val="NormalWeb"/>
              <w:jc w:val="center"/>
            </w:pPr>
            <w:r>
              <w:t>141</w:t>
            </w:r>
          </w:p>
        </w:tc>
      </w:tr>
      <w:tr w:rsidR="00AA5D2A" w14:paraId="79ECFBFB" w14:textId="77777777" w:rsidTr="00D46D62">
        <w:tblPrEx>
          <w:tblCellMar>
            <w:top w:w="57" w:type="dxa"/>
            <w:left w:w="57" w:type="dxa"/>
            <w:bottom w:w="57" w:type="dxa"/>
            <w:right w:w="57" w:type="dxa"/>
          </w:tblCellMar>
        </w:tblPrEx>
        <w:tc>
          <w:tcPr>
            <w:tcW w:w="2696" w:type="dxa"/>
            <w:hideMark/>
          </w:tcPr>
          <w:p w14:paraId="2B125806" w14:textId="77777777" w:rsidR="00AA5D2A" w:rsidRDefault="00AA5D2A" w:rsidP="00D46D62">
            <w:pPr>
              <w:pStyle w:val="NormalWeb"/>
            </w:pPr>
            <w:r>
              <w:t>interstate, source known</w:t>
            </w:r>
          </w:p>
        </w:tc>
        <w:tc>
          <w:tcPr>
            <w:tcW w:w="832" w:type="dxa"/>
            <w:hideMark/>
          </w:tcPr>
          <w:p w14:paraId="79C7A476" w14:textId="77777777" w:rsidR="00AA5D2A" w:rsidRDefault="00AA5D2A" w:rsidP="00D46D62">
            <w:pPr>
              <w:pStyle w:val="NormalWeb"/>
              <w:jc w:val="center"/>
            </w:pPr>
            <w:r>
              <w:t>1</w:t>
            </w:r>
          </w:p>
        </w:tc>
        <w:tc>
          <w:tcPr>
            <w:tcW w:w="833" w:type="dxa"/>
            <w:hideMark/>
          </w:tcPr>
          <w:p w14:paraId="7AFD2B3D" w14:textId="77777777" w:rsidR="00AA5D2A" w:rsidRDefault="00AA5D2A" w:rsidP="00D46D62">
            <w:pPr>
              <w:pStyle w:val="NormalWeb"/>
              <w:jc w:val="center"/>
            </w:pPr>
            <w:r>
              <w:t>5</w:t>
            </w:r>
          </w:p>
        </w:tc>
        <w:tc>
          <w:tcPr>
            <w:tcW w:w="832" w:type="dxa"/>
            <w:hideMark/>
          </w:tcPr>
          <w:p w14:paraId="5D70C469" w14:textId="77777777" w:rsidR="00AA5D2A" w:rsidRDefault="00AA5D2A" w:rsidP="00D46D62">
            <w:pPr>
              <w:pStyle w:val="NormalWeb"/>
              <w:jc w:val="center"/>
            </w:pPr>
            <w:r>
              <w:t>0</w:t>
            </w:r>
          </w:p>
        </w:tc>
        <w:tc>
          <w:tcPr>
            <w:tcW w:w="833" w:type="dxa"/>
            <w:hideMark/>
          </w:tcPr>
          <w:p w14:paraId="4A2BD6B9" w14:textId="77777777" w:rsidR="00AA5D2A" w:rsidRDefault="00AA5D2A" w:rsidP="00D46D62">
            <w:pPr>
              <w:pStyle w:val="NormalWeb"/>
              <w:jc w:val="center"/>
            </w:pPr>
            <w:r>
              <w:t>0</w:t>
            </w:r>
          </w:p>
        </w:tc>
        <w:tc>
          <w:tcPr>
            <w:tcW w:w="832" w:type="dxa"/>
            <w:hideMark/>
          </w:tcPr>
          <w:p w14:paraId="0ED9443D" w14:textId="77777777" w:rsidR="00AA5D2A" w:rsidRDefault="00AA5D2A" w:rsidP="00D46D62">
            <w:pPr>
              <w:pStyle w:val="NormalWeb"/>
              <w:jc w:val="center"/>
            </w:pPr>
            <w:r>
              <w:t>0</w:t>
            </w:r>
          </w:p>
        </w:tc>
        <w:tc>
          <w:tcPr>
            <w:tcW w:w="833" w:type="dxa"/>
            <w:hideMark/>
          </w:tcPr>
          <w:p w14:paraId="401B8125" w14:textId="77777777" w:rsidR="00AA5D2A" w:rsidRDefault="00AA5D2A" w:rsidP="00D46D62">
            <w:pPr>
              <w:pStyle w:val="NormalWeb"/>
              <w:jc w:val="center"/>
            </w:pPr>
            <w:r>
              <w:t>0</w:t>
            </w:r>
          </w:p>
        </w:tc>
        <w:tc>
          <w:tcPr>
            <w:tcW w:w="832" w:type="dxa"/>
            <w:hideMark/>
          </w:tcPr>
          <w:p w14:paraId="7A364FFD" w14:textId="77777777" w:rsidR="00AA5D2A" w:rsidRDefault="00AA5D2A" w:rsidP="00D46D62">
            <w:pPr>
              <w:pStyle w:val="NormalWeb"/>
              <w:jc w:val="center"/>
            </w:pPr>
            <w:r>
              <w:t>0</w:t>
            </w:r>
          </w:p>
        </w:tc>
        <w:tc>
          <w:tcPr>
            <w:tcW w:w="833" w:type="dxa"/>
            <w:hideMark/>
          </w:tcPr>
          <w:p w14:paraId="10A79E2A" w14:textId="77777777" w:rsidR="00AA5D2A" w:rsidRDefault="00AA5D2A" w:rsidP="00D46D62">
            <w:pPr>
              <w:pStyle w:val="NormalWeb"/>
              <w:jc w:val="center"/>
            </w:pPr>
            <w:r>
              <w:t>0</w:t>
            </w:r>
          </w:p>
        </w:tc>
        <w:tc>
          <w:tcPr>
            <w:tcW w:w="1084" w:type="dxa"/>
            <w:hideMark/>
          </w:tcPr>
          <w:p w14:paraId="096B717A" w14:textId="77777777" w:rsidR="00AA5D2A" w:rsidRDefault="00AA5D2A" w:rsidP="00D46D62">
            <w:pPr>
              <w:pStyle w:val="NormalWeb"/>
              <w:jc w:val="center"/>
            </w:pPr>
            <w:r>
              <w:t>6</w:t>
            </w:r>
          </w:p>
        </w:tc>
      </w:tr>
      <w:tr w:rsidR="00AA5D2A" w14:paraId="53991E62"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6" w:type="dxa"/>
            <w:hideMark/>
          </w:tcPr>
          <w:p w14:paraId="138BC1E6" w14:textId="77777777" w:rsidR="00AA5D2A" w:rsidRDefault="00AA5D2A" w:rsidP="00D46D62">
            <w:pPr>
              <w:pStyle w:val="NormalWeb"/>
            </w:pPr>
            <w:r>
              <w:t>interstate, source unknown</w:t>
            </w:r>
          </w:p>
        </w:tc>
        <w:tc>
          <w:tcPr>
            <w:tcW w:w="832" w:type="dxa"/>
            <w:hideMark/>
          </w:tcPr>
          <w:p w14:paraId="739A55D0" w14:textId="77777777" w:rsidR="00AA5D2A" w:rsidRDefault="00AA5D2A" w:rsidP="00D46D62">
            <w:pPr>
              <w:pStyle w:val="NormalWeb"/>
              <w:jc w:val="center"/>
            </w:pPr>
            <w:r>
              <w:t>3</w:t>
            </w:r>
          </w:p>
        </w:tc>
        <w:tc>
          <w:tcPr>
            <w:tcW w:w="833" w:type="dxa"/>
            <w:hideMark/>
          </w:tcPr>
          <w:p w14:paraId="02DB14C9" w14:textId="77777777" w:rsidR="00AA5D2A" w:rsidRDefault="00AA5D2A" w:rsidP="00D46D62">
            <w:pPr>
              <w:pStyle w:val="NormalWeb"/>
              <w:jc w:val="center"/>
            </w:pPr>
            <w:r>
              <w:t>0</w:t>
            </w:r>
          </w:p>
        </w:tc>
        <w:tc>
          <w:tcPr>
            <w:tcW w:w="832" w:type="dxa"/>
            <w:hideMark/>
          </w:tcPr>
          <w:p w14:paraId="29B91F30" w14:textId="77777777" w:rsidR="00AA5D2A" w:rsidRDefault="00AA5D2A" w:rsidP="00D46D62">
            <w:pPr>
              <w:pStyle w:val="NormalWeb"/>
              <w:jc w:val="center"/>
            </w:pPr>
            <w:r>
              <w:t>0</w:t>
            </w:r>
          </w:p>
        </w:tc>
        <w:tc>
          <w:tcPr>
            <w:tcW w:w="833" w:type="dxa"/>
            <w:hideMark/>
          </w:tcPr>
          <w:p w14:paraId="3DEE48CF" w14:textId="77777777" w:rsidR="00AA5D2A" w:rsidRDefault="00AA5D2A" w:rsidP="00D46D62">
            <w:pPr>
              <w:pStyle w:val="NormalWeb"/>
              <w:jc w:val="center"/>
            </w:pPr>
            <w:r>
              <w:t>0</w:t>
            </w:r>
          </w:p>
        </w:tc>
        <w:tc>
          <w:tcPr>
            <w:tcW w:w="832" w:type="dxa"/>
            <w:hideMark/>
          </w:tcPr>
          <w:p w14:paraId="796C0BE8" w14:textId="77777777" w:rsidR="00AA5D2A" w:rsidRDefault="00AA5D2A" w:rsidP="00D46D62">
            <w:pPr>
              <w:pStyle w:val="NormalWeb"/>
              <w:jc w:val="center"/>
            </w:pPr>
            <w:r>
              <w:t>2</w:t>
            </w:r>
          </w:p>
        </w:tc>
        <w:tc>
          <w:tcPr>
            <w:tcW w:w="833" w:type="dxa"/>
            <w:hideMark/>
          </w:tcPr>
          <w:p w14:paraId="4111B3E6" w14:textId="77777777" w:rsidR="00AA5D2A" w:rsidRDefault="00AA5D2A" w:rsidP="00D46D62">
            <w:pPr>
              <w:pStyle w:val="NormalWeb"/>
              <w:jc w:val="center"/>
            </w:pPr>
            <w:r>
              <w:t>0</w:t>
            </w:r>
          </w:p>
        </w:tc>
        <w:tc>
          <w:tcPr>
            <w:tcW w:w="832" w:type="dxa"/>
            <w:hideMark/>
          </w:tcPr>
          <w:p w14:paraId="5F2F58B1" w14:textId="77777777" w:rsidR="00AA5D2A" w:rsidRDefault="00AA5D2A" w:rsidP="00D46D62">
            <w:pPr>
              <w:pStyle w:val="NormalWeb"/>
              <w:jc w:val="center"/>
            </w:pPr>
            <w:r>
              <w:t>0</w:t>
            </w:r>
          </w:p>
        </w:tc>
        <w:tc>
          <w:tcPr>
            <w:tcW w:w="833" w:type="dxa"/>
            <w:hideMark/>
          </w:tcPr>
          <w:p w14:paraId="366A6BD9" w14:textId="77777777" w:rsidR="00AA5D2A" w:rsidRDefault="00AA5D2A" w:rsidP="00D46D62">
            <w:pPr>
              <w:pStyle w:val="NormalWeb"/>
              <w:jc w:val="center"/>
            </w:pPr>
            <w:r>
              <w:t>0</w:t>
            </w:r>
          </w:p>
        </w:tc>
        <w:tc>
          <w:tcPr>
            <w:tcW w:w="1084" w:type="dxa"/>
            <w:hideMark/>
          </w:tcPr>
          <w:p w14:paraId="2BB82CBD" w14:textId="77777777" w:rsidR="00AA5D2A" w:rsidRDefault="00AA5D2A" w:rsidP="00D46D62">
            <w:pPr>
              <w:pStyle w:val="NormalWeb"/>
              <w:jc w:val="center"/>
            </w:pPr>
            <w:r>
              <w:t>5</w:t>
            </w:r>
          </w:p>
        </w:tc>
      </w:tr>
      <w:tr w:rsidR="00AA5D2A" w14:paraId="10426BE5" w14:textId="77777777" w:rsidTr="00D46D62">
        <w:tblPrEx>
          <w:tblCellMar>
            <w:top w:w="57" w:type="dxa"/>
            <w:left w:w="57" w:type="dxa"/>
            <w:bottom w:w="57" w:type="dxa"/>
            <w:right w:w="57" w:type="dxa"/>
          </w:tblCellMar>
        </w:tblPrEx>
        <w:tc>
          <w:tcPr>
            <w:tcW w:w="2696" w:type="dxa"/>
            <w:hideMark/>
          </w:tcPr>
          <w:p w14:paraId="342F79A2" w14:textId="77777777" w:rsidR="00AA5D2A" w:rsidRDefault="00AA5D2A" w:rsidP="00D46D62">
            <w:pPr>
              <w:pStyle w:val="NormalWeb"/>
            </w:pPr>
            <w:r>
              <w:t>investigation ongoing</w:t>
            </w:r>
          </w:p>
        </w:tc>
        <w:tc>
          <w:tcPr>
            <w:tcW w:w="832" w:type="dxa"/>
            <w:hideMark/>
          </w:tcPr>
          <w:p w14:paraId="1C5A0223" w14:textId="77777777" w:rsidR="00AA5D2A" w:rsidRDefault="00AA5D2A" w:rsidP="00D46D62">
            <w:pPr>
              <w:pStyle w:val="NormalWeb"/>
              <w:jc w:val="center"/>
            </w:pPr>
            <w:r>
              <w:t>0</w:t>
            </w:r>
          </w:p>
        </w:tc>
        <w:tc>
          <w:tcPr>
            <w:tcW w:w="833" w:type="dxa"/>
            <w:hideMark/>
          </w:tcPr>
          <w:p w14:paraId="4410BABA" w14:textId="77777777" w:rsidR="00AA5D2A" w:rsidRDefault="00AA5D2A" w:rsidP="00D46D62">
            <w:pPr>
              <w:pStyle w:val="NormalWeb"/>
              <w:jc w:val="center"/>
            </w:pPr>
            <w:r>
              <w:t>14,829</w:t>
            </w:r>
          </w:p>
        </w:tc>
        <w:tc>
          <w:tcPr>
            <w:tcW w:w="832" w:type="dxa"/>
            <w:hideMark/>
          </w:tcPr>
          <w:p w14:paraId="50D84C62" w14:textId="77777777" w:rsidR="00AA5D2A" w:rsidRDefault="00AA5D2A" w:rsidP="00D46D62">
            <w:pPr>
              <w:pStyle w:val="NormalWeb"/>
              <w:jc w:val="center"/>
            </w:pPr>
            <w:r>
              <w:t>0</w:t>
            </w:r>
          </w:p>
        </w:tc>
        <w:tc>
          <w:tcPr>
            <w:tcW w:w="833" w:type="dxa"/>
            <w:hideMark/>
          </w:tcPr>
          <w:p w14:paraId="14F72B23" w14:textId="77777777" w:rsidR="00AA5D2A" w:rsidRDefault="00AA5D2A" w:rsidP="00D46D62">
            <w:pPr>
              <w:pStyle w:val="NormalWeb"/>
              <w:jc w:val="center"/>
            </w:pPr>
            <w:r>
              <w:t>0</w:t>
            </w:r>
          </w:p>
        </w:tc>
        <w:tc>
          <w:tcPr>
            <w:tcW w:w="832" w:type="dxa"/>
            <w:hideMark/>
          </w:tcPr>
          <w:p w14:paraId="693EA7E4" w14:textId="77777777" w:rsidR="00AA5D2A" w:rsidRDefault="00AA5D2A" w:rsidP="00D46D62">
            <w:pPr>
              <w:pStyle w:val="NormalWeb"/>
              <w:jc w:val="center"/>
            </w:pPr>
            <w:r>
              <w:t>0</w:t>
            </w:r>
          </w:p>
        </w:tc>
        <w:tc>
          <w:tcPr>
            <w:tcW w:w="833" w:type="dxa"/>
            <w:hideMark/>
          </w:tcPr>
          <w:p w14:paraId="23BBCF4A" w14:textId="77777777" w:rsidR="00AA5D2A" w:rsidRDefault="00AA5D2A" w:rsidP="00D46D62">
            <w:pPr>
              <w:pStyle w:val="NormalWeb"/>
              <w:jc w:val="center"/>
            </w:pPr>
            <w:r>
              <w:t>0</w:t>
            </w:r>
          </w:p>
        </w:tc>
        <w:tc>
          <w:tcPr>
            <w:tcW w:w="832" w:type="dxa"/>
            <w:hideMark/>
          </w:tcPr>
          <w:p w14:paraId="770C0E37" w14:textId="77777777" w:rsidR="00AA5D2A" w:rsidRDefault="00AA5D2A" w:rsidP="00D46D62">
            <w:pPr>
              <w:pStyle w:val="NormalWeb"/>
              <w:jc w:val="center"/>
            </w:pPr>
            <w:r>
              <w:t>0</w:t>
            </w:r>
          </w:p>
        </w:tc>
        <w:tc>
          <w:tcPr>
            <w:tcW w:w="833" w:type="dxa"/>
            <w:hideMark/>
          </w:tcPr>
          <w:p w14:paraId="248A46FF" w14:textId="77777777" w:rsidR="00AA5D2A" w:rsidRDefault="00AA5D2A" w:rsidP="00D46D62">
            <w:pPr>
              <w:pStyle w:val="NormalWeb"/>
              <w:jc w:val="center"/>
            </w:pPr>
            <w:r>
              <w:t>0</w:t>
            </w:r>
          </w:p>
        </w:tc>
        <w:tc>
          <w:tcPr>
            <w:tcW w:w="1084" w:type="dxa"/>
            <w:hideMark/>
          </w:tcPr>
          <w:p w14:paraId="67D27795" w14:textId="77777777" w:rsidR="00AA5D2A" w:rsidRDefault="00AA5D2A" w:rsidP="00D46D62">
            <w:pPr>
              <w:pStyle w:val="NormalWeb"/>
              <w:jc w:val="center"/>
            </w:pPr>
            <w:r>
              <w:t>14,829</w:t>
            </w:r>
          </w:p>
        </w:tc>
      </w:tr>
      <w:tr w:rsidR="00AA5D2A" w14:paraId="5AE64D8C"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6" w:type="dxa"/>
            <w:hideMark/>
          </w:tcPr>
          <w:p w14:paraId="5F31DEB8" w14:textId="77777777" w:rsidR="00AA5D2A" w:rsidRDefault="00AA5D2A" w:rsidP="00D46D62">
            <w:pPr>
              <w:pStyle w:val="NormalWeb"/>
            </w:pPr>
            <w:r>
              <w:t>Under initial investigation</w:t>
            </w:r>
          </w:p>
        </w:tc>
        <w:tc>
          <w:tcPr>
            <w:tcW w:w="832" w:type="dxa"/>
            <w:hideMark/>
          </w:tcPr>
          <w:p w14:paraId="173A3155" w14:textId="77777777" w:rsidR="00AA5D2A" w:rsidRDefault="00AA5D2A" w:rsidP="00D46D62">
            <w:pPr>
              <w:pStyle w:val="NormalWeb"/>
              <w:jc w:val="center"/>
            </w:pPr>
            <w:r>
              <w:t>3</w:t>
            </w:r>
          </w:p>
        </w:tc>
        <w:tc>
          <w:tcPr>
            <w:tcW w:w="833" w:type="dxa"/>
            <w:hideMark/>
          </w:tcPr>
          <w:p w14:paraId="2E83405A" w14:textId="77777777" w:rsidR="00AA5D2A" w:rsidRDefault="00AA5D2A" w:rsidP="00D46D62">
            <w:pPr>
              <w:pStyle w:val="NormalWeb"/>
              <w:jc w:val="center"/>
            </w:pPr>
            <w:r>
              <w:t>368</w:t>
            </w:r>
          </w:p>
        </w:tc>
        <w:tc>
          <w:tcPr>
            <w:tcW w:w="832" w:type="dxa"/>
            <w:hideMark/>
          </w:tcPr>
          <w:p w14:paraId="7C48988E" w14:textId="77777777" w:rsidR="00AA5D2A" w:rsidRDefault="00AA5D2A" w:rsidP="00D46D62">
            <w:pPr>
              <w:pStyle w:val="NormalWeb"/>
              <w:jc w:val="center"/>
            </w:pPr>
            <w:r>
              <w:t>0</w:t>
            </w:r>
          </w:p>
        </w:tc>
        <w:tc>
          <w:tcPr>
            <w:tcW w:w="833" w:type="dxa"/>
            <w:hideMark/>
          </w:tcPr>
          <w:p w14:paraId="081173F4" w14:textId="77777777" w:rsidR="00AA5D2A" w:rsidRDefault="00AA5D2A" w:rsidP="00D46D62">
            <w:pPr>
              <w:pStyle w:val="NormalWeb"/>
              <w:jc w:val="center"/>
            </w:pPr>
            <w:r>
              <w:t>2</w:t>
            </w:r>
          </w:p>
        </w:tc>
        <w:tc>
          <w:tcPr>
            <w:tcW w:w="832" w:type="dxa"/>
            <w:hideMark/>
          </w:tcPr>
          <w:p w14:paraId="209A0E91" w14:textId="77777777" w:rsidR="00AA5D2A" w:rsidRDefault="00AA5D2A" w:rsidP="00D46D62">
            <w:pPr>
              <w:pStyle w:val="NormalWeb"/>
              <w:jc w:val="center"/>
            </w:pPr>
            <w:r>
              <w:t>0</w:t>
            </w:r>
          </w:p>
        </w:tc>
        <w:tc>
          <w:tcPr>
            <w:tcW w:w="833" w:type="dxa"/>
            <w:hideMark/>
          </w:tcPr>
          <w:p w14:paraId="512D899F" w14:textId="77777777" w:rsidR="00AA5D2A" w:rsidRDefault="00AA5D2A" w:rsidP="00D46D62">
            <w:pPr>
              <w:pStyle w:val="NormalWeb"/>
              <w:jc w:val="center"/>
            </w:pPr>
            <w:r>
              <w:t>0</w:t>
            </w:r>
          </w:p>
        </w:tc>
        <w:tc>
          <w:tcPr>
            <w:tcW w:w="832" w:type="dxa"/>
            <w:hideMark/>
          </w:tcPr>
          <w:p w14:paraId="5B057466" w14:textId="77777777" w:rsidR="00AA5D2A" w:rsidRDefault="00AA5D2A" w:rsidP="00D46D62">
            <w:pPr>
              <w:pStyle w:val="NormalWeb"/>
              <w:jc w:val="center"/>
            </w:pPr>
            <w:r>
              <w:t>1,670</w:t>
            </w:r>
          </w:p>
        </w:tc>
        <w:tc>
          <w:tcPr>
            <w:tcW w:w="833" w:type="dxa"/>
            <w:hideMark/>
          </w:tcPr>
          <w:p w14:paraId="7B4F4C83" w14:textId="77777777" w:rsidR="00AA5D2A" w:rsidRDefault="00AA5D2A" w:rsidP="00D46D62">
            <w:pPr>
              <w:pStyle w:val="NormalWeb"/>
              <w:jc w:val="center"/>
            </w:pPr>
            <w:r>
              <w:t>0</w:t>
            </w:r>
          </w:p>
        </w:tc>
        <w:tc>
          <w:tcPr>
            <w:tcW w:w="1084" w:type="dxa"/>
            <w:hideMark/>
          </w:tcPr>
          <w:p w14:paraId="2C37272A" w14:textId="77777777" w:rsidR="00AA5D2A" w:rsidRDefault="00AA5D2A" w:rsidP="00D46D62">
            <w:pPr>
              <w:pStyle w:val="NormalWeb"/>
              <w:jc w:val="center"/>
            </w:pPr>
            <w:r>
              <w:t>2,043</w:t>
            </w:r>
          </w:p>
        </w:tc>
      </w:tr>
      <w:tr w:rsidR="00AA5D2A" w14:paraId="15EFCF12" w14:textId="77777777" w:rsidTr="00D46D62">
        <w:tblPrEx>
          <w:tblCellMar>
            <w:top w:w="57" w:type="dxa"/>
            <w:left w:w="57" w:type="dxa"/>
            <w:bottom w:w="57" w:type="dxa"/>
            <w:right w:w="57" w:type="dxa"/>
          </w:tblCellMar>
        </w:tblPrEx>
        <w:tc>
          <w:tcPr>
            <w:tcW w:w="2696" w:type="dxa"/>
            <w:hideMark/>
          </w:tcPr>
          <w:p w14:paraId="5039E526" w14:textId="77777777" w:rsidR="00AA5D2A" w:rsidRDefault="00AA5D2A" w:rsidP="00D46D62">
            <w:pPr>
              <w:pStyle w:val="NormalWeb"/>
            </w:pPr>
            <w:r>
              <w:t>Missing source of acquisition</w:t>
            </w:r>
          </w:p>
        </w:tc>
        <w:tc>
          <w:tcPr>
            <w:tcW w:w="832" w:type="dxa"/>
            <w:hideMark/>
          </w:tcPr>
          <w:p w14:paraId="5818D538" w14:textId="77777777" w:rsidR="00AA5D2A" w:rsidRDefault="00AA5D2A" w:rsidP="00D46D62">
            <w:pPr>
              <w:pStyle w:val="NormalWeb"/>
              <w:jc w:val="center"/>
            </w:pPr>
            <w:r>
              <w:t>0</w:t>
            </w:r>
          </w:p>
        </w:tc>
        <w:tc>
          <w:tcPr>
            <w:tcW w:w="833" w:type="dxa"/>
            <w:hideMark/>
          </w:tcPr>
          <w:p w14:paraId="4BB8AD32" w14:textId="77777777" w:rsidR="00AA5D2A" w:rsidRDefault="00AA5D2A" w:rsidP="00D46D62">
            <w:pPr>
              <w:pStyle w:val="NormalWeb"/>
              <w:jc w:val="center"/>
            </w:pPr>
            <w:r>
              <w:t>1</w:t>
            </w:r>
          </w:p>
        </w:tc>
        <w:tc>
          <w:tcPr>
            <w:tcW w:w="832" w:type="dxa"/>
            <w:hideMark/>
          </w:tcPr>
          <w:p w14:paraId="06D92791" w14:textId="77777777" w:rsidR="00AA5D2A" w:rsidRDefault="00AA5D2A" w:rsidP="00D46D62">
            <w:pPr>
              <w:pStyle w:val="NormalWeb"/>
              <w:jc w:val="center"/>
            </w:pPr>
            <w:r>
              <w:t>0</w:t>
            </w:r>
          </w:p>
        </w:tc>
        <w:tc>
          <w:tcPr>
            <w:tcW w:w="833" w:type="dxa"/>
            <w:hideMark/>
          </w:tcPr>
          <w:p w14:paraId="53CF9554" w14:textId="77777777" w:rsidR="00AA5D2A" w:rsidRDefault="00AA5D2A" w:rsidP="00D46D62">
            <w:pPr>
              <w:pStyle w:val="NormalWeb"/>
              <w:jc w:val="center"/>
            </w:pPr>
            <w:r>
              <w:t>1</w:t>
            </w:r>
          </w:p>
        </w:tc>
        <w:tc>
          <w:tcPr>
            <w:tcW w:w="832" w:type="dxa"/>
            <w:hideMark/>
          </w:tcPr>
          <w:p w14:paraId="5DA0A56F" w14:textId="77777777" w:rsidR="00AA5D2A" w:rsidRDefault="00AA5D2A" w:rsidP="00D46D62">
            <w:pPr>
              <w:pStyle w:val="NormalWeb"/>
              <w:jc w:val="center"/>
            </w:pPr>
            <w:r>
              <w:t>1</w:t>
            </w:r>
          </w:p>
        </w:tc>
        <w:tc>
          <w:tcPr>
            <w:tcW w:w="833" w:type="dxa"/>
            <w:hideMark/>
          </w:tcPr>
          <w:p w14:paraId="76F77F11" w14:textId="77777777" w:rsidR="00AA5D2A" w:rsidRDefault="00AA5D2A" w:rsidP="00D46D62">
            <w:pPr>
              <w:pStyle w:val="NormalWeb"/>
              <w:jc w:val="center"/>
            </w:pPr>
            <w:r>
              <w:t>0</w:t>
            </w:r>
          </w:p>
        </w:tc>
        <w:tc>
          <w:tcPr>
            <w:tcW w:w="832" w:type="dxa"/>
            <w:hideMark/>
          </w:tcPr>
          <w:p w14:paraId="0FD2B706" w14:textId="77777777" w:rsidR="00AA5D2A" w:rsidRDefault="00AA5D2A" w:rsidP="00D46D62">
            <w:pPr>
              <w:pStyle w:val="NormalWeb"/>
              <w:jc w:val="center"/>
            </w:pPr>
            <w:r>
              <w:t>0</w:t>
            </w:r>
          </w:p>
        </w:tc>
        <w:tc>
          <w:tcPr>
            <w:tcW w:w="833" w:type="dxa"/>
            <w:hideMark/>
          </w:tcPr>
          <w:p w14:paraId="21C420CC" w14:textId="77777777" w:rsidR="00AA5D2A" w:rsidRDefault="00AA5D2A" w:rsidP="00D46D62">
            <w:pPr>
              <w:pStyle w:val="NormalWeb"/>
              <w:jc w:val="center"/>
            </w:pPr>
            <w:r>
              <w:t>1</w:t>
            </w:r>
          </w:p>
        </w:tc>
        <w:tc>
          <w:tcPr>
            <w:tcW w:w="1084" w:type="dxa"/>
            <w:hideMark/>
          </w:tcPr>
          <w:p w14:paraId="7C2AEDC0" w14:textId="77777777" w:rsidR="00AA5D2A" w:rsidRDefault="00AA5D2A" w:rsidP="00D46D62">
            <w:pPr>
              <w:pStyle w:val="NormalWeb"/>
              <w:jc w:val="center"/>
            </w:pPr>
            <w:r>
              <w:t>4</w:t>
            </w:r>
          </w:p>
        </w:tc>
      </w:tr>
      <w:tr w:rsidR="00AA5D2A" w:rsidRPr="00841140" w14:paraId="43319749"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2696" w:type="dxa"/>
            <w:shd w:val="clear" w:color="auto" w:fill="FDE9D9" w:themeFill="accent6" w:themeFillTint="33"/>
            <w:hideMark/>
          </w:tcPr>
          <w:p w14:paraId="2BE7A3CE" w14:textId="77777777" w:rsidR="00AA5D2A" w:rsidRPr="00841140" w:rsidRDefault="00AA5D2A" w:rsidP="00D46D62">
            <w:pPr>
              <w:pStyle w:val="NormalWeb"/>
              <w:rPr>
                <w:b/>
                <w:bCs/>
              </w:rPr>
            </w:pPr>
            <w:r w:rsidRPr="00841140">
              <w:rPr>
                <w:b/>
                <w:bCs/>
              </w:rPr>
              <w:t>Total</w:t>
            </w:r>
          </w:p>
        </w:tc>
        <w:tc>
          <w:tcPr>
            <w:tcW w:w="832" w:type="dxa"/>
            <w:shd w:val="clear" w:color="auto" w:fill="FDE9D9" w:themeFill="accent6" w:themeFillTint="33"/>
            <w:hideMark/>
          </w:tcPr>
          <w:p w14:paraId="7083ED80" w14:textId="77777777" w:rsidR="00AA5D2A" w:rsidRPr="00841140" w:rsidRDefault="00AA5D2A" w:rsidP="00D46D62">
            <w:pPr>
              <w:pStyle w:val="NormalWeb"/>
              <w:jc w:val="center"/>
              <w:rPr>
                <w:b/>
                <w:bCs/>
              </w:rPr>
            </w:pPr>
            <w:r w:rsidRPr="00841140">
              <w:rPr>
                <w:b/>
                <w:bCs/>
              </w:rPr>
              <w:t>251</w:t>
            </w:r>
          </w:p>
        </w:tc>
        <w:tc>
          <w:tcPr>
            <w:tcW w:w="833" w:type="dxa"/>
            <w:shd w:val="clear" w:color="auto" w:fill="FDE9D9" w:themeFill="accent6" w:themeFillTint="33"/>
            <w:hideMark/>
          </w:tcPr>
          <w:p w14:paraId="103B3546" w14:textId="77777777" w:rsidR="00AA5D2A" w:rsidRPr="00841140" w:rsidRDefault="00AA5D2A" w:rsidP="00D46D62">
            <w:pPr>
              <w:pStyle w:val="NormalWeb"/>
              <w:jc w:val="center"/>
              <w:rPr>
                <w:b/>
                <w:bCs/>
              </w:rPr>
            </w:pPr>
            <w:r w:rsidRPr="00841140">
              <w:rPr>
                <w:b/>
                <w:bCs/>
              </w:rPr>
              <w:t>18,737</w:t>
            </w:r>
          </w:p>
        </w:tc>
        <w:tc>
          <w:tcPr>
            <w:tcW w:w="832" w:type="dxa"/>
            <w:shd w:val="clear" w:color="auto" w:fill="FDE9D9" w:themeFill="accent6" w:themeFillTint="33"/>
            <w:hideMark/>
          </w:tcPr>
          <w:p w14:paraId="4A7775F4" w14:textId="77777777" w:rsidR="00AA5D2A" w:rsidRPr="00841140" w:rsidRDefault="00AA5D2A" w:rsidP="00D46D62">
            <w:pPr>
              <w:pStyle w:val="NormalWeb"/>
              <w:jc w:val="center"/>
              <w:rPr>
                <w:b/>
                <w:bCs/>
              </w:rPr>
            </w:pPr>
            <w:r w:rsidRPr="00841140">
              <w:rPr>
                <w:b/>
                <w:bCs/>
              </w:rPr>
              <w:t>0</w:t>
            </w:r>
          </w:p>
        </w:tc>
        <w:tc>
          <w:tcPr>
            <w:tcW w:w="833" w:type="dxa"/>
            <w:shd w:val="clear" w:color="auto" w:fill="FDE9D9" w:themeFill="accent6" w:themeFillTint="33"/>
            <w:hideMark/>
          </w:tcPr>
          <w:p w14:paraId="63F4DBF8" w14:textId="77777777" w:rsidR="00AA5D2A" w:rsidRPr="00841140" w:rsidRDefault="00AA5D2A" w:rsidP="00D46D62">
            <w:pPr>
              <w:pStyle w:val="NormalWeb"/>
              <w:jc w:val="center"/>
              <w:rPr>
                <w:b/>
                <w:bCs/>
              </w:rPr>
            </w:pPr>
            <w:r w:rsidRPr="00841140">
              <w:rPr>
                <w:b/>
                <w:bCs/>
              </w:rPr>
              <w:t>20</w:t>
            </w:r>
          </w:p>
        </w:tc>
        <w:tc>
          <w:tcPr>
            <w:tcW w:w="832" w:type="dxa"/>
            <w:shd w:val="clear" w:color="auto" w:fill="FDE9D9" w:themeFill="accent6" w:themeFillTint="33"/>
            <w:hideMark/>
          </w:tcPr>
          <w:p w14:paraId="43A79A20" w14:textId="77777777" w:rsidR="00AA5D2A" w:rsidRPr="00841140" w:rsidRDefault="00AA5D2A" w:rsidP="00D46D62">
            <w:pPr>
              <w:pStyle w:val="NormalWeb"/>
              <w:jc w:val="center"/>
              <w:rPr>
                <w:b/>
                <w:bCs/>
              </w:rPr>
            </w:pPr>
            <w:r w:rsidRPr="00841140">
              <w:rPr>
                <w:b/>
                <w:bCs/>
              </w:rPr>
              <w:t>13</w:t>
            </w:r>
          </w:p>
        </w:tc>
        <w:tc>
          <w:tcPr>
            <w:tcW w:w="833" w:type="dxa"/>
            <w:shd w:val="clear" w:color="auto" w:fill="FDE9D9" w:themeFill="accent6" w:themeFillTint="33"/>
            <w:hideMark/>
          </w:tcPr>
          <w:p w14:paraId="0FD0A016" w14:textId="77777777" w:rsidR="00AA5D2A" w:rsidRPr="00841140" w:rsidRDefault="00AA5D2A" w:rsidP="00D46D62">
            <w:pPr>
              <w:pStyle w:val="NormalWeb"/>
              <w:jc w:val="center"/>
              <w:rPr>
                <w:b/>
                <w:bCs/>
              </w:rPr>
            </w:pPr>
            <w:r w:rsidRPr="00841140">
              <w:rPr>
                <w:b/>
                <w:bCs/>
              </w:rPr>
              <w:t>0</w:t>
            </w:r>
          </w:p>
        </w:tc>
        <w:tc>
          <w:tcPr>
            <w:tcW w:w="832" w:type="dxa"/>
            <w:shd w:val="clear" w:color="auto" w:fill="FDE9D9" w:themeFill="accent6" w:themeFillTint="33"/>
            <w:hideMark/>
          </w:tcPr>
          <w:p w14:paraId="519A1307" w14:textId="77777777" w:rsidR="00AA5D2A" w:rsidRPr="00841140" w:rsidRDefault="00AA5D2A" w:rsidP="00D46D62">
            <w:pPr>
              <w:pStyle w:val="NormalWeb"/>
              <w:jc w:val="center"/>
              <w:rPr>
                <w:b/>
                <w:bCs/>
              </w:rPr>
            </w:pPr>
            <w:r w:rsidRPr="00841140">
              <w:rPr>
                <w:b/>
                <w:bCs/>
              </w:rPr>
              <w:t>3,743</w:t>
            </w:r>
          </w:p>
        </w:tc>
        <w:tc>
          <w:tcPr>
            <w:tcW w:w="833" w:type="dxa"/>
            <w:shd w:val="clear" w:color="auto" w:fill="FDE9D9" w:themeFill="accent6" w:themeFillTint="33"/>
            <w:hideMark/>
          </w:tcPr>
          <w:p w14:paraId="1ED8E5BC" w14:textId="77777777" w:rsidR="00AA5D2A" w:rsidRPr="00841140" w:rsidRDefault="00AA5D2A" w:rsidP="00D46D62">
            <w:pPr>
              <w:pStyle w:val="NormalWeb"/>
              <w:jc w:val="center"/>
              <w:rPr>
                <w:b/>
                <w:bCs/>
              </w:rPr>
            </w:pPr>
            <w:r w:rsidRPr="00841140">
              <w:rPr>
                <w:b/>
                <w:bCs/>
              </w:rPr>
              <w:t>2</w:t>
            </w:r>
          </w:p>
        </w:tc>
        <w:tc>
          <w:tcPr>
            <w:tcW w:w="1084" w:type="dxa"/>
            <w:shd w:val="clear" w:color="auto" w:fill="FDE9D9" w:themeFill="accent6" w:themeFillTint="33"/>
            <w:hideMark/>
          </w:tcPr>
          <w:p w14:paraId="01F2303F" w14:textId="77777777" w:rsidR="00AA5D2A" w:rsidRPr="00841140" w:rsidRDefault="00AA5D2A" w:rsidP="00D46D62">
            <w:pPr>
              <w:pStyle w:val="NormalWeb"/>
              <w:jc w:val="center"/>
              <w:rPr>
                <w:b/>
                <w:bCs/>
              </w:rPr>
            </w:pPr>
            <w:r w:rsidRPr="00841140">
              <w:rPr>
                <w:b/>
                <w:bCs/>
              </w:rPr>
              <w:t>22,766</w:t>
            </w:r>
          </w:p>
        </w:tc>
      </w:tr>
    </w:tbl>
    <w:p w14:paraId="6085A06A" w14:textId="77777777" w:rsidR="00AA5D2A" w:rsidRDefault="00AA5D2A" w:rsidP="00AA5D2A">
      <w:pPr>
        <w:pStyle w:val="CDIfootnotes"/>
        <w:rPr>
          <w:lang w:val="en-GB"/>
        </w:rPr>
      </w:pPr>
      <w:r>
        <w:rPr>
          <w:lang w:val="en-GB"/>
        </w:rPr>
        <w:t>a</w:t>
      </w:r>
      <w:r>
        <w:rPr>
          <w:lang w:val="en-GB"/>
        </w:rPr>
        <w:tab/>
        <w:t>Source: NINDSS extract from 14 September 2021 for notifications to 12 September 2021.</w:t>
      </w:r>
    </w:p>
    <w:p w14:paraId="69CF4F70" w14:textId="6B850634" w:rsidR="00AA5D2A" w:rsidRPr="00AA5D2A" w:rsidRDefault="00AA5D2A" w:rsidP="00AA5D2A">
      <w:pPr>
        <w:pStyle w:val="CDIfootnotes"/>
        <w:rPr>
          <w:lang w:val="en-GB"/>
        </w:rPr>
      </w:pPr>
      <w:r>
        <w:rPr>
          <w:lang w:val="en-GB"/>
        </w:rPr>
        <w:t>b</w:t>
      </w:r>
      <w:r>
        <w:rPr>
          <w:lang w:val="en-GB"/>
        </w:rPr>
        <w:tab/>
        <w:t>ACT: Australian Capital Territory; NSW: New South Wales; NT: Northern Territory; Qld: Queensland; SA: South Australia; Tas.: Tasmania; Vic.: Victoria; WA: Western Australia.</w:t>
      </w:r>
    </w:p>
    <w:p w14:paraId="542BDB1A" w14:textId="77777777" w:rsidR="00612295" w:rsidRDefault="00612295" w:rsidP="00D57237">
      <w:r>
        <w:t xml:space="preserve">In the year to date, from 1 January 2021 to 12 September 2021, there have been 46,729 COVID-19 cases reported nationally (Figure 1). Until the week ending 20 June 2021, the number of weekly cases diagnosed this year had been below 180 cases per week. Since then, there has been a continuing increase in new cases (Figure 1), with each week of the latest reporting fortnight exceeding 9,000 cases diagnosed per week. The number of cases in each week of the current reporting period far exceeded the two distinct peaks experienced in March and July of 2020, when the </w:t>
      </w:r>
      <w:r>
        <w:lastRenderedPageBreak/>
        <w:t>number of weekly cases diagnosed reached approximately 2,700 and 3,000 respectively (Figure 2). Cumulatively, since the beginning of the epidemic in Australia, there have been 75,139 COVID-19 cases reported in Australia.</w:t>
      </w:r>
    </w:p>
    <w:p w14:paraId="78C7941C" w14:textId="77777777" w:rsidR="0099623F" w:rsidRPr="002F257F" w:rsidRDefault="0099623F" w:rsidP="0099623F">
      <w:pPr>
        <w:pStyle w:val="CDIFigures"/>
      </w:pPr>
      <w:r w:rsidRPr="002F257F">
        <w:rPr>
          <w:rStyle w:val="Strong"/>
          <w:b/>
          <w:bCs w:val="0"/>
        </w:rPr>
        <w:t>Figure 1: COVID-19 notified cases by source of acquisition and diagnosis date, 28 December 2020 – 12 September</w:t>
      </w:r>
      <w:r>
        <w:rPr>
          <w:rStyle w:val="Strong"/>
          <w:b/>
          <w:bCs w:val="0"/>
        </w:rPr>
        <w:t> </w:t>
      </w:r>
      <w:r w:rsidRPr="002F257F">
        <w:rPr>
          <w:rStyle w:val="Strong"/>
          <w:b/>
          <w:bCs w:val="0"/>
        </w:rPr>
        <w:t>2021</w:t>
      </w:r>
      <w:proofErr w:type="gramStart"/>
      <w:r w:rsidRPr="002F257F">
        <w:rPr>
          <w:rStyle w:val="Strong"/>
          <w:b/>
          <w:bCs w:val="0"/>
          <w:vertAlign w:val="superscript"/>
        </w:rPr>
        <w:t>a,b</w:t>
      </w:r>
      <w:proofErr w:type="gramEnd"/>
    </w:p>
    <w:p w14:paraId="1B89EA03" w14:textId="77777777" w:rsidR="0099623F" w:rsidRDefault="0099623F" w:rsidP="0099623F">
      <w:pPr>
        <w:rPr>
          <w:rFonts w:eastAsia="Times New Roman"/>
          <w:lang w:val="en-GB"/>
        </w:rPr>
      </w:pPr>
      <w:r>
        <w:rPr>
          <w:rFonts w:eastAsia="Times New Roman"/>
          <w:noProof/>
          <w:lang w:val="en-GB"/>
        </w:rPr>
        <w:drawing>
          <wp:inline distT="0" distB="0" distL="0" distR="0" wp14:anchorId="75D72DCC" wp14:editId="0D33179E">
            <wp:extent cx="6599247" cy="2864815"/>
            <wp:effectExtent l="0" t="0" r="0" b="0"/>
            <wp:docPr id="8" name="Picture 8"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twelve weeks, with total cases exceeding 9,000 in each week of the current reporting fort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ar chart of new case notifications in Australia, by week of illness diagnosis and source of acquisition, for the calendar year to date. For the first 25 weeks of 2021, until the week ending 20 June, weekly case notifications remained below 180 cases per week and were generally dominated by overseas-acquired cases; locally-acquired cases have predominated for the last twelve weeks, with total cases exceeding 9,000 in each week of the current reporting fortnight."/>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609833" cy="2869411"/>
                    </a:xfrm>
                    <a:prstGeom prst="rect">
                      <a:avLst/>
                    </a:prstGeom>
                  </pic:spPr>
                </pic:pic>
              </a:graphicData>
            </a:graphic>
          </wp:inline>
        </w:drawing>
      </w:r>
    </w:p>
    <w:p w14:paraId="14E3480A" w14:textId="77777777" w:rsidR="0099623F" w:rsidRDefault="0099623F" w:rsidP="0099623F">
      <w:pPr>
        <w:pStyle w:val="CDIfootnotes"/>
        <w:rPr>
          <w:lang w:val="en-GB"/>
        </w:rPr>
      </w:pPr>
      <w:r>
        <w:rPr>
          <w:lang w:val="en-GB"/>
        </w:rPr>
        <w:t>a</w:t>
      </w:r>
      <w:r>
        <w:rPr>
          <w:lang w:val="en-GB"/>
        </w:rPr>
        <w:tab/>
        <w:t>Source: NINDSS, extract from 14 September 2021 for notifications to 12 September 2021.</w:t>
      </w:r>
    </w:p>
    <w:p w14:paraId="6E4F5E07" w14:textId="77777777" w:rsidR="0099623F" w:rsidRPr="00CC3E64" w:rsidRDefault="0099623F" w:rsidP="0099623F">
      <w:pPr>
        <w:pStyle w:val="CDIfootnotes"/>
        <w:rPr>
          <w:lang w:val="en-GB"/>
        </w:rPr>
      </w:pPr>
      <w:r>
        <w:rPr>
          <w:lang w:val="en-GB"/>
        </w:rPr>
        <w:t>b</w:t>
      </w:r>
      <w:r>
        <w:rPr>
          <w:lang w:val="en-GB"/>
        </w:rPr>
        <w:tab/>
      </w:r>
      <w:proofErr w:type="gramStart"/>
      <w:r>
        <w:rPr>
          <w:lang w:val="en-GB"/>
        </w:rPr>
        <w:t>As</w:t>
      </w:r>
      <w:proofErr w:type="gramEnd"/>
      <w:r>
        <w:rPr>
          <w:lang w:val="en-GB"/>
        </w:rPr>
        <w:t xml:space="preserve"> noted in the text, there is potential for newly-notified cases to be excluded from the case count in the current reporting period when reporting by diagnosis date.</w:t>
      </w:r>
    </w:p>
    <w:p w14:paraId="44088C69" w14:textId="77777777" w:rsidR="008C12E2" w:rsidRPr="005F76C1" w:rsidRDefault="008C12E2" w:rsidP="008C12E2">
      <w:pPr>
        <w:pStyle w:val="CDIFigures"/>
      </w:pPr>
      <w:r w:rsidRPr="005F76C1">
        <w:rPr>
          <w:rStyle w:val="Strong"/>
          <w:b/>
          <w:bCs w:val="0"/>
        </w:rPr>
        <w:t>Figure 2: Cumulative COVID-19 notified cases by source of acquisition and diagnosis date, 2 March 2020 – 12</w:t>
      </w:r>
      <w:r>
        <w:rPr>
          <w:rStyle w:val="Strong"/>
          <w:b/>
          <w:bCs w:val="0"/>
        </w:rPr>
        <w:t> </w:t>
      </w:r>
      <w:r w:rsidRPr="005F76C1">
        <w:rPr>
          <w:rStyle w:val="Strong"/>
          <w:b/>
          <w:bCs w:val="0"/>
        </w:rPr>
        <w:t>September 2021</w:t>
      </w:r>
      <w:proofErr w:type="gramStart"/>
      <w:r w:rsidRPr="005F76C1">
        <w:rPr>
          <w:rStyle w:val="Strong"/>
          <w:b/>
          <w:bCs w:val="0"/>
          <w:vertAlign w:val="superscript"/>
        </w:rPr>
        <w:t>a,b</w:t>
      </w:r>
      <w:proofErr w:type="gramEnd"/>
    </w:p>
    <w:p w14:paraId="16FF6B2B" w14:textId="77777777" w:rsidR="008C12E2" w:rsidRDefault="008C12E2" w:rsidP="008C12E2">
      <w:pPr>
        <w:pStyle w:val="NormalWeb"/>
        <w:rPr>
          <w:lang w:val="en-GB"/>
        </w:rPr>
      </w:pPr>
      <w:r>
        <w:rPr>
          <w:noProof/>
          <w:lang w:val="en-GB"/>
        </w:rPr>
        <w:drawing>
          <wp:inline distT="0" distB="0" distL="0" distR="0" wp14:anchorId="70CAD311" wp14:editId="7C1DC623">
            <wp:extent cx="6560618" cy="2858414"/>
            <wp:effectExtent l="0" t="0" r="0" b="0"/>
            <wp:docPr id="5" name="Picture 5"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ar chart of new case notifications in Australia, by week of illness diagnosis and source of acquisition, since the start of the COVID-19 epidemic in Australia. There is an evident peak in notifications in the week ending 22 March 2020, with a majority of cases during this time overseas acquired. In contrast, almost all cases from 1 June to 11 October 2020 (and peaking in the weeks ending 26 July and 2 August) have been reported as locally acquired. After several subsequent months largely dominated by overseas-acquired cases and generally low weekly case numbers, a further escalation in cases (largely locally acquired), starting from the week ending 27 June 2021, is evident. "/>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66985" cy="2861188"/>
                    </a:xfrm>
                    <a:prstGeom prst="rect">
                      <a:avLst/>
                    </a:prstGeom>
                  </pic:spPr>
                </pic:pic>
              </a:graphicData>
            </a:graphic>
          </wp:inline>
        </w:drawing>
      </w:r>
    </w:p>
    <w:p w14:paraId="5FBF0DFC" w14:textId="77777777" w:rsidR="008C12E2" w:rsidRDefault="008C12E2" w:rsidP="008C12E2">
      <w:pPr>
        <w:pStyle w:val="CDIfootnotes"/>
        <w:rPr>
          <w:lang w:val="en-GB"/>
        </w:rPr>
      </w:pPr>
      <w:r>
        <w:rPr>
          <w:lang w:val="en-GB"/>
        </w:rPr>
        <w:t>a</w:t>
      </w:r>
      <w:r>
        <w:rPr>
          <w:lang w:val="en-GB"/>
        </w:rPr>
        <w:tab/>
        <w:t>Source: NINDSS, extract from 14 September 2021 for notifications to 12 September 2021.</w:t>
      </w:r>
    </w:p>
    <w:p w14:paraId="434EE088" w14:textId="3C7ED33A" w:rsidR="008C12E2" w:rsidRPr="008C12E2" w:rsidRDefault="008C12E2" w:rsidP="008C12E2">
      <w:pPr>
        <w:pStyle w:val="CDIfootnotes"/>
        <w:rPr>
          <w:rStyle w:val="Strong"/>
          <w:b w:val="0"/>
          <w:bCs w:val="0"/>
          <w:lang w:val="en-GB"/>
        </w:rPr>
      </w:pPr>
      <w:r>
        <w:rPr>
          <w:lang w:val="en-GB"/>
        </w:rPr>
        <w:t>b</w:t>
      </w:r>
      <w:r>
        <w:rPr>
          <w:lang w:val="en-GB"/>
        </w:rPr>
        <w:tab/>
      </w:r>
      <w:proofErr w:type="gramStart"/>
      <w:r>
        <w:rPr>
          <w:lang w:val="en-GB"/>
        </w:rPr>
        <w:t>As</w:t>
      </w:r>
      <w:proofErr w:type="gramEnd"/>
      <w:r>
        <w:rPr>
          <w:lang w:val="en-GB"/>
        </w:rPr>
        <w:t xml:space="preserve"> noted in the text, there is potential for newly-notified cases to be excluded from the case count in the current reporting period when reporting by diagnosis date.</w:t>
      </w:r>
    </w:p>
    <w:p w14:paraId="318144FF" w14:textId="38BA18FD" w:rsidR="00612295" w:rsidRPr="00D57237" w:rsidRDefault="00612295" w:rsidP="00D57237">
      <w:pPr>
        <w:pStyle w:val="Heading2"/>
      </w:pPr>
      <w:r w:rsidRPr="00D57237">
        <w:lastRenderedPageBreak/>
        <w:t xml:space="preserve">Source of acquisition </w:t>
      </w:r>
    </w:p>
    <w:p w14:paraId="4740A83A" w14:textId="77777777" w:rsidR="00612295" w:rsidRPr="00D57237" w:rsidRDefault="00612295" w:rsidP="00D57237">
      <w:pPr>
        <w:pStyle w:val="Heading3"/>
      </w:pPr>
      <w:r w:rsidRPr="00D57237">
        <w:rPr>
          <w:rStyle w:val="Emphasis"/>
          <w:b/>
          <w:bCs/>
          <w:spacing w:val="0"/>
        </w:rPr>
        <w:t xml:space="preserve">(NINDSS) </w:t>
      </w:r>
    </w:p>
    <w:p w14:paraId="16829EC0" w14:textId="77777777" w:rsidR="00612295" w:rsidRDefault="00612295" w:rsidP="00D57237">
      <w:r>
        <w:t xml:space="preserve">In this reporting period, 91% (20,671/22,766) of cases notified were locally acquired and &lt; 1% (48/22,766) were overseas acquired. At the end of the reporting period, there were 9% (2,043/22,766) of cases under investigation: 1,670 from Victoria, 368 from New South Wales, three from the Australian Capital Territory and two from Queensland (Table 1). </w:t>
      </w:r>
    </w:p>
    <w:p w14:paraId="2C10F1E2" w14:textId="77777777" w:rsidR="00612295" w:rsidRDefault="00612295" w:rsidP="00D57237">
      <w:r>
        <w:t xml:space="preserve">New South Wales reported the majority of </w:t>
      </w:r>
      <w:proofErr w:type="gramStart"/>
      <w:r>
        <w:t>locally-acquired</w:t>
      </w:r>
      <w:proofErr w:type="gramEnd"/>
      <w:r>
        <w:t xml:space="preserve"> cases (89%; 18,344/20,671) in this fortnight, followed by Victoria (10%; 2,068/20,671). In the reporting period, 28% (5,696/20,671) of locally-acquired cases had a known contact or link to a cluster; 146 cases had an unknown (local or interstate) source; and, at the end of the reporting period, the source of infection was under ongoing investigation for 71% (14,829/20,671) of cases, all from New South Wales. </w:t>
      </w:r>
    </w:p>
    <w:p w14:paraId="211C458B" w14:textId="4B8A8417" w:rsidR="00612295" w:rsidRDefault="00612295" w:rsidP="00D57237">
      <w:r>
        <w:t xml:space="preserve">For 2021 to date, New South Wales had the highest infection rate for </w:t>
      </w:r>
      <w:proofErr w:type="gramStart"/>
      <w:r>
        <w:t>locally-acquired</w:t>
      </w:r>
      <w:proofErr w:type="gramEnd"/>
      <w:r>
        <w:t xml:space="preserve"> cases with 472.2 infections per 100,000 population, followed by the Australian Capital Territory with a rate of 118.0 infections per 100,000 population (Table 2). Based on cases notified up to 12 September 2021, Tasmania reported that it had been more than a year since the last </w:t>
      </w:r>
      <w:proofErr w:type="gramStart"/>
      <w:r>
        <w:t>locally-acquired</w:t>
      </w:r>
      <w:proofErr w:type="gramEnd"/>
      <w:r>
        <w:t xml:space="preserve"> case (Table 3). </w:t>
      </w:r>
    </w:p>
    <w:p w14:paraId="6D660E57" w14:textId="77777777" w:rsidR="00EB4D52" w:rsidRPr="002F257F" w:rsidRDefault="00EB4D52" w:rsidP="00EB4D52">
      <w:pPr>
        <w:pStyle w:val="CDIFigures"/>
      </w:pPr>
      <w:r w:rsidRPr="002F257F">
        <w:rPr>
          <w:rStyle w:val="Strong"/>
          <w:b/>
          <w:bCs w:val="0"/>
        </w:rPr>
        <w:t xml:space="preserve">Table 2: </w:t>
      </w:r>
      <w:proofErr w:type="gramStart"/>
      <w:r w:rsidRPr="002F257F">
        <w:rPr>
          <w:rStyle w:val="Strong"/>
          <w:b/>
          <w:bCs w:val="0"/>
        </w:rPr>
        <w:t>Locally-acquired</w:t>
      </w:r>
      <w:proofErr w:type="gramEnd"/>
      <w:r w:rsidRPr="002F257F">
        <w:rPr>
          <w:rStyle w:val="Strong"/>
          <w:b/>
          <w:bCs w:val="0"/>
        </w:rPr>
        <w:t xml:space="preserve"> COVID-19 case numbers and rates per 100,000 population by jurisdiction and reporting period, Australia, with a notification received date from 1 January to 12 September 2021</w:t>
      </w:r>
      <w:r w:rsidRPr="002F257F">
        <w:rPr>
          <w:rStyle w:val="Strong"/>
          <w:b/>
          <w:bCs w:val="0"/>
          <w:vertAlign w:val="superscript"/>
        </w:rPr>
        <w:t>a</w:t>
      </w:r>
    </w:p>
    <w:tbl>
      <w:tblPr>
        <w:tblStyle w:val="CDI-StandardTable"/>
        <w:tblW w:w="0" w:type="auto"/>
        <w:tblLook w:val="04A0" w:firstRow="1" w:lastRow="0" w:firstColumn="1" w:lastColumn="0" w:noHBand="0" w:noVBand="1"/>
        <w:tblDescription w:val="Table 2 shows the locally-acquired case notifications within each jurisdiction for the current two-week reporting period, the previous two-week reporting period, and the total case numbers and rates per 100,000 population for each jurisdiction for the calendar year to date. For this reporting period, there were 20,671 locally-acquired cases, most of them notified in New South Wales (18,344 cases). Other jurisdictions with locally-acquired cases this reporting period were Victoria (2,068 cases), the Australian Capital Territory (248 cases), Queensland (9 cases) and South Australia (2 cases). For each of these jurisdictions, the number of locally-acquired cases reported this fortnight was an increase on the number notified in the preceding fortnight, most substantially so in New South Wales and Victoria. The remaining three jurisdictions – the Northern Territory, Tasmania, and Western Australia – did not record any locally-acquired cases in this reporting period or the previous reporting period. Nationwide, the total number of locally-acquired cases for the calendar year to date is 42,868 cases, with a corresponding locally-acquired case rate of 166.8 cases per 100,000 population, predominantly driven by New South Wales’ case rate this year of 472.2 cases per 100,000 population."/>
      </w:tblPr>
      <w:tblGrid>
        <w:gridCol w:w="1282"/>
        <w:gridCol w:w="3140"/>
        <w:gridCol w:w="1807"/>
        <w:gridCol w:w="1664"/>
        <w:gridCol w:w="2573"/>
      </w:tblGrid>
      <w:tr w:rsidR="00EB4D52" w14:paraId="61AD9EE4"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F40FFCF" w14:textId="77777777" w:rsidR="00EB4D52" w:rsidRPr="002F257F" w:rsidRDefault="00EB4D52" w:rsidP="00D46D62">
            <w:pPr>
              <w:pStyle w:val="NormalWeb"/>
              <w:rPr>
                <w:color w:val="FFFFFF" w:themeColor="background1"/>
              </w:rPr>
            </w:pPr>
            <w:r w:rsidRPr="002F257F">
              <w:rPr>
                <w:color w:val="FFFFFF" w:themeColor="background1"/>
              </w:rPr>
              <w:t>Jurisdiction</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7BA2B117" w14:textId="77777777" w:rsidR="00EB4D52" w:rsidRPr="002F257F" w:rsidRDefault="00EB4D52" w:rsidP="00D46D62">
            <w:pPr>
              <w:pStyle w:val="NormalWeb"/>
              <w:jc w:val="center"/>
              <w:rPr>
                <w:color w:val="FFFFFF" w:themeColor="background1"/>
              </w:rPr>
            </w:pPr>
            <w:r w:rsidRPr="002F257F">
              <w:rPr>
                <w:color w:val="FFFFFF" w:themeColor="background1"/>
              </w:rPr>
              <w:t>Reporting period</w:t>
            </w:r>
          </w:p>
        </w:tc>
        <w:tc>
          <w:tcPr>
            <w:tcW w:w="0" w:type="auto"/>
            <w:tcBorders>
              <w:left w:val="single" w:sz="2" w:space="0" w:color="FFFFFF" w:themeColor="background1"/>
              <w:bottom w:val="single" w:sz="2" w:space="0" w:color="FFFFFF" w:themeColor="background1"/>
              <w:right w:val="single" w:sz="2" w:space="0" w:color="FFFFFF" w:themeColor="background1"/>
            </w:tcBorders>
            <w:hideMark/>
          </w:tcPr>
          <w:p w14:paraId="2B70BA2A" w14:textId="77777777" w:rsidR="00EB4D52" w:rsidRPr="002F257F" w:rsidRDefault="00EB4D52" w:rsidP="00D46D62">
            <w:pPr>
              <w:pStyle w:val="NormalWeb"/>
              <w:jc w:val="center"/>
              <w:rPr>
                <w:color w:val="FFFFFF" w:themeColor="background1"/>
              </w:rPr>
            </w:pPr>
            <w:r w:rsidRPr="002F257F">
              <w:rPr>
                <w:color w:val="FFFFFF" w:themeColor="background1"/>
              </w:rPr>
              <w:t>Reporting period</w:t>
            </w:r>
          </w:p>
        </w:tc>
        <w:tc>
          <w:tcPr>
            <w:tcW w:w="0" w:type="auto"/>
            <w:gridSpan w:val="2"/>
            <w:tcBorders>
              <w:left w:val="single" w:sz="2" w:space="0" w:color="FFFFFF" w:themeColor="background1"/>
              <w:bottom w:val="single" w:sz="2" w:space="0" w:color="FFFFFF" w:themeColor="background1"/>
            </w:tcBorders>
            <w:hideMark/>
          </w:tcPr>
          <w:p w14:paraId="1EA2AC03" w14:textId="77777777" w:rsidR="00EB4D52" w:rsidRPr="002F257F" w:rsidRDefault="00EB4D52" w:rsidP="00D46D62">
            <w:pPr>
              <w:pStyle w:val="NormalWeb"/>
              <w:jc w:val="center"/>
              <w:rPr>
                <w:color w:val="FFFFFF" w:themeColor="background1"/>
              </w:rPr>
            </w:pPr>
            <w:r w:rsidRPr="002F257F">
              <w:rPr>
                <w:color w:val="FFFFFF" w:themeColor="background1"/>
              </w:rPr>
              <w:t>Cases this year</w:t>
            </w:r>
          </w:p>
        </w:tc>
      </w:tr>
      <w:tr w:rsidR="00EB4D52" w14:paraId="427922D4"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5CB58CAF" w14:textId="77777777" w:rsidR="00EB4D52" w:rsidRPr="002F257F" w:rsidRDefault="00EB4D52" w:rsidP="00D46D62">
            <w:pPr>
              <w:rPr>
                <w:color w:val="FFFFFF" w:themeColor="background1"/>
                <w:sz w:val="24"/>
                <w:szCs w:val="24"/>
              </w:rPr>
            </w:pP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BE2F914" w14:textId="77777777" w:rsidR="00EB4D52" w:rsidRPr="002F257F" w:rsidRDefault="00EB4D52" w:rsidP="00D46D62">
            <w:pPr>
              <w:pStyle w:val="NormalWeb"/>
              <w:jc w:val="center"/>
              <w:rPr>
                <w:color w:val="FFFFFF" w:themeColor="background1"/>
              </w:rPr>
            </w:pPr>
            <w:r w:rsidRPr="002F257F">
              <w:rPr>
                <w:color w:val="FFFFFF" w:themeColor="background1"/>
              </w:rPr>
              <w:t>30 August 2021 – 12 September 2021</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7A5680" w14:textId="77777777" w:rsidR="00EB4D52" w:rsidRPr="002F257F" w:rsidRDefault="00EB4D52" w:rsidP="00D46D62">
            <w:pPr>
              <w:pStyle w:val="NormalWeb"/>
              <w:jc w:val="center"/>
              <w:rPr>
                <w:color w:val="FFFFFF" w:themeColor="background1"/>
              </w:rPr>
            </w:pPr>
            <w:r w:rsidRPr="002F257F">
              <w:rPr>
                <w:color w:val="FFFFFF" w:themeColor="background1"/>
              </w:rPr>
              <w:t>16–29 August 2021</w:t>
            </w:r>
          </w:p>
        </w:tc>
        <w:tc>
          <w:tcPr>
            <w:tcW w:w="0" w:type="auto"/>
            <w:gridSpan w:val="2"/>
            <w:tcBorders>
              <w:top w:val="single" w:sz="2" w:space="0" w:color="FFFFFF" w:themeColor="background1"/>
              <w:left w:val="single" w:sz="2" w:space="0" w:color="FFFFFF" w:themeColor="background1"/>
              <w:bottom w:val="single" w:sz="2" w:space="0" w:color="FFFFFF" w:themeColor="background1"/>
            </w:tcBorders>
            <w:hideMark/>
          </w:tcPr>
          <w:p w14:paraId="295524FF" w14:textId="77777777" w:rsidR="00EB4D52" w:rsidRPr="002F257F" w:rsidRDefault="00EB4D52" w:rsidP="00D46D62">
            <w:pPr>
              <w:pStyle w:val="NormalWeb"/>
              <w:jc w:val="center"/>
              <w:rPr>
                <w:color w:val="FFFFFF" w:themeColor="background1"/>
              </w:rPr>
            </w:pPr>
            <w:r w:rsidRPr="002F257F">
              <w:rPr>
                <w:color w:val="FFFFFF" w:themeColor="background1"/>
              </w:rPr>
              <w:t>1 January 2021 – 12 September 2021</w:t>
            </w:r>
          </w:p>
        </w:tc>
      </w:tr>
      <w:tr w:rsidR="00EB4D52" w14:paraId="2EE434C3"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3C39F0D6" w14:textId="77777777" w:rsidR="00EB4D52" w:rsidRPr="002F257F" w:rsidRDefault="00EB4D52" w:rsidP="00D46D62">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5D92912" w14:textId="77777777" w:rsidR="00EB4D52" w:rsidRPr="002F257F" w:rsidRDefault="00EB4D52" w:rsidP="00D46D62">
            <w:pPr>
              <w:pStyle w:val="NormalWeb"/>
              <w:jc w:val="center"/>
              <w:rPr>
                <w:color w:val="FFFFFF" w:themeColor="background1"/>
              </w:rPr>
            </w:pPr>
            <w:r w:rsidRPr="002F257F">
              <w:rPr>
                <w:color w:val="FFFFFF" w:themeColor="background1"/>
              </w:rPr>
              <w:t xml:space="preserve">Number of </w:t>
            </w:r>
            <w:proofErr w:type="spellStart"/>
            <w:r w:rsidRPr="002F257F">
              <w:rPr>
                <w:color w:val="FFFFFF" w:themeColor="background1"/>
              </w:rPr>
              <w:t>cases</w:t>
            </w:r>
            <w:r w:rsidRPr="002F257F">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7095D86" w14:textId="77777777" w:rsidR="00EB4D52" w:rsidRPr="002F257F" w:rsidRDefault="00EB4D52" w:rsidP="00D46D62">
            <w:pPr>
              <w:pStyle w:val="NormalWeb"/>
              <w:jc w:val="center"/>
              <w:rPr>
                <w:color w:val="FFFFFF" w:themeColor="background1"/>
              </w:rPr>
            </w:pPr>
            <w:r w:rsidRPr="002F257F">
              <w:rPr>
                <w:color w:val="FFFFFF" w:themeColor="background1"/>
              </w:rPr>
              <w:t xml:space="preserve">Number of </w:t>
            </w:r>
            <w:proofErr w:type="spellStart"/>
            <w:r w:rsidRPr="002F257F">
              <w:rPr>
                <w:color w:val="FFFFFF" w:themeColor="background1"/>
              </w:rPr>
              <w:t>cases</w:t>
            </w:r>
            <w:r w:rsidRPr="002F257F">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4D55AA2E" w14:textId="77777777" w:rsidR="00EB4D52" w:rsidRPr="002F257F" w:rsidRDefault="00EB4D52" w:rsidP="00D46D62">
            <w:pPr>
              <w:pStyle w:val="NormalWeb"/>
              <w:jc w:val="center"/>
              <w:rPr>
                <w:color w:val="FFFFFF" w:themeColor="background1"/>
              </w:rPr>
            </w:pPr>
            <w:r w:rsidRPr="002F257F">
              <w:rPr>
                <w:color w:val="FFFFFF" w:themeColor="background1"/>
              </w:rPr>
              <w:t xml:space="preserve">Number of </w:t>
            </w:r>
            <w:proofErr w:type="spellStart"/>
            <w:r w:rsidRPr="002F257F">
              <w:rPr>
                <w:color w:val="FFFFFF" w:themeColor="background1"/>
              </w:rPr>
              <w:t>cases</w:t>
            </w:r>
            <w:r w:rsidRPr="002F257F">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tcBorders>
            <w:hideMark/>
          </w:tcPr>
          <w:p w14:paraId="6A6E9202" w14:textId="77777777" w:rsidR="00EB4D52" w:rsidRPr="002F257F" w:rsidRDefault="00EB4D52" w:rsidP="00D46D62">
            <w:pPr>
              <w:pStyle w:val="NormalWeb"/>
              <w:jc w:val="center"/>
              <w:rPr>
                <w:color w:val="FFFFFF" w:themeColor="background1"/>
              </w:rPr>
            </w:pPr>
            <w:r w:rsidRPr="002F257F">
              <w:rPr>
                <w:color w:val="FFFFFF" w:themeColor="background1"/>
              </w:rPr>
              <w:t xml:space="preserve">Rate per 100,000 </w:t>
            </w:r>
            <w:proofErr w:type="spellStart"/>
            <w:r w:rsidRPr="002F257F">
              <w:rPr>
                <w:color w:val="FFFFFF" w:themeColor="background1"/>
              </w:rPr>
              <w:t>population</w:t>
            </w:r>
            <w:r w:rsidRPr="002F257F">
              <w:rPr>
                <w:color w:val="FFFFFF" w:themeColor="background1"/>
                <w:vertAlign w:val="superscript"/>
              </w:rPr>
              <w:t>c</w:t>
            </w:r>
            <w:proofErr w:type="spellEnd"/>
          </w:p>
        </w:tc>
      </w:tr>
      <w:tr w:rsidR="00EB4D52" w14:paraId="5B709F0E" w14:textId="77777777" w:rsidTr="00D46D62">
        <w:tblPrEx>
          <w:tblCellMar>
            <w:top w:w="57" w:type="dxa"/>
            <w:left w:w="57" w:type="dxa"/>
            <w:bottom w:w="57" w:type="dxa"/>
            <w:right w:w="57" w:type="dxa"/>
          </w:tblCellMar>
        </w:tblPrEx>
        <w:tc>
          <w:tcPr>
            <w:tcW w:w="0" w:type="auto"/>
            <w:hideMark/>
          </w:tcPr>
          <w:p w14:paraId="03C8F51C" w14:textId="77777777" w:rsidR="00EB4D52" w:rsidRDefault="00EB4D52" w:rsidP="00D46D62">
            <w:pPr>
              <w:pStyle w:val="NormalWeb"/>
            </w:pPr>
            <w:r>
              <w:t>ACT</w:t>
            </w:r>
          </w:p>
        </w:tc>
        <w:tc>
          <w:tcPr>
            <w:tcW w:w="0" w:type="auto"/>
            <w:hideMark/>
          </w:tcPr>
          <w:p w14:paraId="4F6FE599" w14:textId="77777777" w:rsidR="00EB4D52" w:rsidRDefault="00EB4D52" w:rsidP="00D46D62">
            <w:pPr>
              <w:pStyle w:val="NormalWeb"/>
              <w:jc w:val="center"/>
            </w:pPr>
            <w:r>
              <w:t>248</w:t>
            </w:r>
          </w:p>
        </w:tc>
        <w:tc>
          <w:tcPr>
            <w:tcW w:w="0" w:type="auto"/>
            <w:hideMark/>
          </w:tcPr>
          <w:p w14:paraId="12C801CA" w14:textId="77777777" w:rsidR="00EB4D52" w:rsidRDefault="00EB4D52" w:rsidP="00D46D62">
            <w:pPr>
              <w:pStyle w:val="NormalWeb"/>
              <w:jc w:val="center"/>
            </w:pPr>
            <w:r>
              <w:t>238</w:t>
            </w:r>
          </w:p>
        </w:tc>
        <w:tc>
          <w:tcPr>
            <w:tcW w:w="0" w:type="auto"/>
            <w:hideMark/>
          </w:tcPr>
          <w:p w14:paraId="1DF968BE" w14:textId="77777777" w:rsidR="00EB4D52" w:rsidRDefault="00EB4D52" w:rsidP="00D46D62">
            <w:pPr>
              <w:pStyle w:val="NormalWeb"/>
              <w:jc w:val="center"/>
            </w:pPr>
            <w:r>
              <w:t>509</w:t>
            </w:r>
          </w:p>
        </w:tc>
        <w:tc>
          <w:tcPr>
            <w:tcW w:w="0" w:type="auto"/>
            <w:hideMark/>
          </w:tcPr>
          <w:p w14:paraId="04340A02" w14:textId="77777777" w:rsidR="00EB4D52" w:rsidRDefault="00EB4D52" w:rsidP="00D46D62">
            <w:pPr>
              <w:pStyle w:val="NormalWeb"/>
              <w:jc w:val="center"/>
            </w:pPr>
            <w:r>
              <w:t>118.0</w:t>
            </w:r>
          </w:p>
        </w:tc>
      </w:tr>
      <w:tr w:rsidR="00EB4D52" w14:paraId="213998D7"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A92BBFF" w14:textId="77777777" w:rsidR="00EB4D52" w:rsidRDefault="00EB4D52" w:rsidP="00D46D62">
            <w:pPr>
              <w:pStyle w:val="NormalWeb"/>
            </w:pPr>
            <w:r>
              <w:t>NSW</w:t>
            </w:r>
          </w:p>
        </w:tc>
        <w:tc>
          <w:tcPr>
            <w:tcW w:w="0" w:type="auto"/>
            <w:hideMark/>
          </w:tcPr>
          <w:p w14:paraId="3A42EC4B" w14:textId="77777777" w:rsidR="00EB4D52" w:rsidRDefault="00EB4D52" w:rsidP="00D46D62">
            <w:pPr>
              <w:pStyle w:val="NormalWeb"/>
              <w:jc w:val="center"/>
            </w:pPr>
            <w:r>
              <w:t>18,344</w:t>
            </w:r>
          </w:p>
        </w:tc>
        <w:tc>
          <w:tcPr>
            <w:tcW w:w="0" w:type="auto"/>
            <w:hideMark/>
          </w:tcPr>
          <w:p w14:paraId="346FDE1A" w14:textId="77777777" w:rsidR="00EB4D52" w:rsidRDefault="00EB4D52" w:rsidP="00D46D62">
            <w:pPr>
              <w:pStyle w:val="NormalWeb"/>
              <w:jc w:val="center"/>
            </w:pPr>
            <w:r>
              <w:t>11,876</w:t>
            </w:r>
          </w:p>
        </w:tc>
        <w:tc>
          <w:tcPr>
            <w:tcW w:w="0" w:type="auto"/>
            <w:hideMark/>
          </w:tcPr>
          <w:p w14:paraId="42A851A7" w14:textId="77777777" w:rsidR="00EB4D52" w:rsidRDefault="00EB4D52" w:rsidP="00D46D62">
            <w:pPr>
              <w:pStyle w:val="NormalWeb"/>
              <w:jc w:val="center"/>
            </w:pPr>
            <w:r>
              <w:t>38,571</w:t>
            </w:r>
          </w:p>
        </w:tc>
        <w:tc>
          <w:tcPr>
            <w:tcW w:w="0" w:type="auto"/>
            <w:hideMark/>
          </w:tcPr>
          <w:p w14:paraId="4E515513" w14:textId="77777777" w:rsidR="00EB4D52" w:rsidRDefault="00EB4D52" w:rsidP="00D46D62">
            <w:pPr>
              <w:pStyle w:val="NormalWeb"/>
              <w:jc w:val="center"/>
            </w:pPr>
            <w:r>
              <w:t>472.2</w:t>
            </w:r>
          </w:p>
        </w:tc>
      </w:tr>
      <w:tr w:rsidR="00EB4D52" w14:paraId="0DB5E04F" w14:textId="77777777" w:rsidTr="00D46D62">
        <w:tblPrEx>
          <w:tblCellMar>
            <w:top w:w="57" w:type="dxa"/>
            <w:left w:w="57" w:type="dxa"/>
            <w:bottom w:w="57" w:type="dxa"/>
            <w:right w:w="57" w:type="dxa"/>
          </w:tblCellMar>
        </w:tblPrEx>
        <w:tc>
          <w:tcPr>
            <w:tcW w:w="0" w:type="auto"/>
            <w:hideMark/>
          </w:tcPr>
          <w:p w14:paraId="39A928E7" w14:textId="77777777" w:rsidR="00EB4D52" w:rsidRDefault="00EB4D52" w:rsidP="00D46D62">
            <w:pPr>
              <w:pStyle w:val="NormalWeb"/>
            </w:pPr>
            <w:r>
              <w:t>NT</w:t>
            </w:r>
          </w:p>
        </w:tc>
        <w:tc>
          <w:tcPr>
            <w:tcW w:w="0" w:type="auto"/>
            <w:hideMark/>
          </w:tcPr>
          <w:p w14:paraId="2992F39F" w14:textId="77777777" w:rsidR="00EB4D52" w:rsidRDefault="00EB4D52" w:rsidP="00D46D62">
            <w:pPr>
              <w:pStyle w:val="NormalWeb"/>
              <w:jc w:val="center"/>
            </w:pPr>
            <w:r>
              <w:t>0</w:t>
            </w:r>
          </w:p>
        </w:tc>
        <w:tc>
          <w:tcPr>
            <w:tcW w:w="0" w:type="auto"/>
            <w:hideMark/>
          </w:tcPr>
          <w:p w14:paraId="0598DC1A" w14:textId="77777777" w:rsidR="00EB4D52" w:rsidRDefault="00EB4D52" w:rsidP="00D46D62">
            <w:pPr>
              <w:pStyle w:val="NormalWeb"/>
              <w:jc w:val="center"/>
            </w:pPr>
            <w:r>
              <w:t>0</w:t>
            </w:r>
          </w:p>
        </w:tc>
        <w:tc>
          <w:tcPr>
            <w:tcW w:w="0" w:type="auto"/>
            <w:hideMark/>
          </w:tcPr>
          <w:p w14:paraId="544093E8" w14:textId="77777777" w:rsidR="00EB4D52" w:rsidRDefault="00EB4D52" w:rsidP="00D46D62">
            <w:pPr>
              <w:pStyle w:val="NormalWeb"/>
              <w:jc w:val="center"/>
            </w:pPr>
            <w:r>
              <w:t>11</w:t>
            </w:r>
          </w:p>
        </w:tc>
        <w:tc>
          <w:tcPr>
            <w:tcW w:w="0" w:type="auto"/>
            <w:hideMark/>
          </w:tcPr>
          <w:p w14:paraId="4C77098A" w14:textId="77777777" w:rsidR="00EB4D52" w:rsidRDefault="00EB4D52" w:rsidP="00D46D62">
            <w:pPr>
              <w:pStyle w:val="NormalWeb"/>
              <w:jc w:val="center"/>
            </w:pPr>
            <w:r>
              <w:t>4.5</w:t>
            </w:r>
          </w:p>
        </w:tc>
      </w:tr>
      <w:tr w:rsidR="00EB4D52" w14:paraId="2D65046A"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56ADCC4" w14:textId="77777777" w:rsidR="00EB4D52" w:rsidRDefault="00EB4D52" w:rsidP="00D46D62">
            <w:pPr>
              <w:pStyle w:val="NormalWeb"/>
            </w:pPr>
            <w:r>
              <w:t>Qld</w:t>
            </w:r>
          </w:p>
        </w:tc>
        <w:tc>
          <w:tcPr>
            <w:tcW w:w="0" w:type="auto"/>
            <w:hideMark/>
          </w:tcPr>
          <w:p w14:paraId="3FA4092B" w14:textId="77777777" w:rsidR="00EB4D52" w:rsidRDefault="00EB4D52" w:rsidP="00D46D62">
            <w:pPr>
              <w:pStyle w:val="NormalWeb"/>
              <w:jc w:val="center"/>
            </w:pPr>
            <w:r>
              <w:t>9</w:t>
            </w:r>
          </w:p>
        </w:tc>
        <w:tc>
          <w:tcPr>
            <w:tcW w:w="0" w:type="auto"/>
            <w:hideMark/>
          </w:tcPr>
          <w:p w14:paraId="130098C8" w14:textId="77777777" w:rsidR="00EB4D52" w:rsidRDefault="00EB4D52" w:rsidP="00D46D62">
            <w:pPr>
              <w:pStyle w:val="NormalWeb"/>
              <w:jc w:val="center"/>
            </w:pPr>
            <w:r>
              <w:t>4</w:t>
            </w:r>
          </w:p>
        </w:tc>
        <w:tc>
          <w:tcPr>
            <w:tcW w:w="0" w:type="auto"/>
            <w:hideMark/>
          </w:tcPr>
          <w:p w14:paraId="18F1E230" w14:textId="77777777" w:rsidR="00EB4D52" w:rsidRDefault="00EB4D52" w:rsidP="00D46D62">
            <w:pPr>
              <w:pStyle w:val="NormalWeb"/>
              <w:jc w:val="center"/>
            </w:pPr>
            <w:r>
              <w:t>222</w:t>
            </w:r>
          </w:p>
        </w:tc>
        <w:tc>
          <w:tcPr>
            <w:tcW w:w="0" w:type="auto"/>
            <w:hideMark/>
          </w:tcPr>
          <w:p w14:paraId="127F0164" w14:textId="77777777" w:rsidR="00EB4D52" w:rsidRDefault="00EB4D52" w:rsidP="00D46D62">
            <w:pPr>
              <w:pStyle w:val="NormalWeb"/>
              <w:jc w:val="center"/>
            </w:pPr>
            <w:r>
              <w:t>4.3</w:t>
            </w:r>
          </w:p>
        </w:tc>
      </w:tr>
      <w:tr w:rsidR="00EB4D52" w14:paraId="2B0D76F0" w14:textId="77777777" w:rsidTr="00D46D62">
        <w:tblPrEx>
          <w:tblCellMar>
            <w:top w:w="57" w:type="dxa"/>
            <w:left w:w="57" w:type="dxa"/>
            <w:bottom w:w="57" w:type="dxa"/>
            <w:right w:w="57" w:type="dxa"/>
          </w:tblCellMar>
        </w:tblPrEx>
        <w:tc>
          <w:tcPr>
            <w:tcW w:w="0" w:type="auto"/>
            <w:hideMark/>
          </w:tcPr>
          <w:p w14:paraId="17671AFF" w14:textId="77777777" w:rsidR="00EB4D52" w:rsidRDefault="00EB4D52" w:rsidP="00D46D62">
            <w:pPr>
              <w:pStyle w:val="NormalWeb"/>
            </w:pPr>
            <w:r>
              <w:t>SA</w:t>
            </w:r>
          </w:p>
        </w:tc>
        <w:tc>
          <w:tcPr>
            <w:tcW w:w="0" w:type="auto"/>
            <w:hideMark/>
          </w:tcPr>
          <w:p w14:paraId="69835CDC" w14:textId="77777777" w:rsidR="00EB4D52" w:rsidRDefault="00EB4D52" w:rsidP="00D46D62">
            <w:pPr>
              <w:pStyle w:val="NormalWeb"/>
              <w:jc w:val="center"/>
            </w:pPr>
            <w:r>
              <w:t>2</w:t>
            </w:r>
          </w:p>
        </w:tc>
        <w:tc>
          <w:tcPr>
            <w:tcW w:w="0" w:type="auto"/>
            <w:hideMark/>
          </w:tcPr>
          <w:p w14:paraId="6F8E54E9" w14:textId="77777777" w:rsidR="00EB4D52" w:rsidRDefault="00EB4D52" w:rsidP="00D46D62">
            <w:pPr>
              <w:pStyle w:val="NormalWeb"/>
              <w:jc w:val="center"/>
            </w:pPr>
            <w:r>
              <w:t>0</w:t>
            </w:r>
          </w:p>
        </w:tc>
        <w:tc>
          <w:tcPr>
            <w:tcW w:w="0" w:type="auto"/>
            <w:hideMark/>
          </w:tcPr>
          <w:p w14:paraId="425C6B8D" w14:textId="77777777" w:rsidR="00EB4D52" w:rsidRDefault="00EB4D52" w:rsidP="00D46D62">
            <w:pPr>
              <w:pStyle w:val="NormalWeb"/>
              <w:jc w:val="center"/>
            </w:pPr>
            <w:r>
              <w:t>30</w:t>
            </w:r>
          </w:p>
        </w:tc>
        <w:tc>
          <w:tcPr>
            <w:tcW w:w="0" w:type="auto"/>
            <w:hideMark/>
          </w:tcPr>
          <w:p w14:paraId="6E96D244" w14:textId="77777777" w:rsidR="00EB4D52" w:rsidRDefault="00EB4D52" w:rsidP="00D46D62">
            <w:pPr>
              <w:pStyle w:val="NormalWeb"/>
              <w:jc w:val="center"/>
            </w:pPr>
            <w:r>
              <w:t>1.7</w:t>
            </w:r>
          </w:p>
        </w:tc>
      </w:tr>
      <w:tr w:rsidR="00EB4D52" w14:paraId="124FB06C"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E988EF5" w14:textId="77777777" w:rsidR="00EB4D52" w:rsidRDefault="00EB4D52" w:rsidP="00D46D62">
            <w:pPr>
              <w:pStyle w:val="NormalWeb"/>
            </w:pPr>
            <w:r>
              <w:t>Tas.</w:t>
            </w:r>
          </w:p>
        </w:tc>
        <w:tc>
          <w:tcPr>
            <w:tcW w:w="0" w:type="auto"/>
            <w:hideMark/>
          </w:tcPr>
          <w:p w14:paraId="7DB12890" w14:textId="77777777" w:rsidR="00EB4D52" w:rsidRDefault="00EB4D52" w:rsidP="00D46D62">
            <w:pPr>
              <w:pStyle w:val="NormalWeb"/>
              <w:jc w:val="center"/>
            </w:pPr>
            <w:r>
              <w:t>0</w:t>
            </w:r>
          </w:p>
        </w:tc>
        <w:tc>
          <w:tcPr>
            <w:tcW w:w="0" w:type="auto"/>
            <w:hideMark/>
          </w:tcPr>
          <w:p w14:paraId="106E1B2B" w14:textId="77777777" w:rsidR="00EB4D52" w:rsidRDefault="00EB4D52" w:rsidP="00D46D62">
            <w:pPr>
              <w:pStyle w:val="NormalWeb"/>
              <w:jc w:val="center"/>
            </w:pPr>
            <w:r>
              <w:t>0</w:t>
            </w:r>
          </w:p>
        </w:tc>
        <w:tc>
          <w:tcPr>
            <w:tcW w:w="0" w:type="auto"/>
            <w:hideMark/>
          </w:tcPr>
          <w:p w14:paraId="6B150807" w14:textId="77777777" w:rsidR="00EB4D52" w:rsidRDefault="00EB4D52" w:rsidP="00D46D62">
            <w:pPr>
              <w:pStyle w:val="NormalWeb"/>
              <w:jc w:val="center"/>
            </w:pPr>
            <w:r>
              <w:t>1</w:t>
            </w:r>
          </w:p>
        </w:tc>
        <w:tc>
          <w:tcPr>
            <w:tcW w:w="0" w:type="auto"/>
            <w:hideMark/>
          </w:tcPr>
          <w:p w14:paraId="20E1D25B" w14:textId="77777777" w:rsidR="00EB4D52" w:rsidRDefault="00EB4D52" w:rsidP="00D46D62">
            <w:pPr>
              <w:pStyle w:val="NormalWeb"/>
              <w:jc w:val="center"/>
            </w:pPr>
            <w:r>
              <w:t>0.2</w:t>
            </w:r>
          </w:p>
        </w:tc>
      </w:tr>
      <w:tr w:rsidR="00EB4D52" w14:paraId="2865265F" w14:textId="77777777" w:rsidTr="00D46D62">
        <w:tblPrEx>
          <w:tblCellMar>
            <w:top w:w="57" w:type="dxa"/>
            <w:left w:w="57" w:type="dxa"/>
            <w:bottom w:w="57" w:type="dxa"/>
            <w:right w:w="57" w:type="dxa"/>
          </w:tblCellMar>
        </w:tblPrEx>
        <w:tc>
          <w:tcPr>
            <w:tcW w:w="0" w:type="auto"/>
            <w:hideMark/>
          </w:tcPr>
          <w:p w14:paraId="162FDE07" w14:textId="77777777" w:rsidR="00EB4D52" w:rsidRDefault="00EB4D52" w:rsidP="00D46D62">
            <w:pPr>
              <w:pStyle w:val="NormalWeb"/>
            </w:pPr>
            <w:r>
              <w:t>Vic.</w:t>
            </w:r>
          </w:p>
        </w:tc>
        <w:tc>
          <w:tcPr>
            <w:tcW w:w="0" w:type="auto"/>
            <w:hideMark/>
          </w:tcPr>
          <w:p w14:paraId="45656E43" w14:textId="77777777" w:rsidR="00EB4D52" w:rsidRDefault="00EB4D52" w:rsidP="00D46D62">
            <w:pPr>
              <w:pStyle w:val="NormalWeb"/>
              <w:jc w:val="center"/>
            </w:pPr>
            <w:r>
              <w:t>2,068</w:t>
            </w:r>
          </w:p>
        </w:tc>
        <w:tc>
          <w:tcPr>
            <w:tcW w:w="0" w:type="auto"/>
            <w:hideMark/>
          </w:tcPr>
          <w:p w14:paraId="5F43D143" w14:textId="77777777" w:rsidR="00EB4D52" w:rsidRDefault="00EB4D52" w:rsidP="00D46D62">
            <w:pPr>
              <w:pStyle w:val="NormalWeb"/>
              <w:jc w:val="center"/>
            </w:pPr>
            <w:r>
              <w:t>855</w:t>
            </w:r>
          </w:p>
        </w:tc>
        <w:tc>
          <w:tcPr>
            <w:tcW w:w="0" w:type="auto"/>
            <w:hideMark/>
          </w:tcPr>
          <w:p w14:paraId="47BFD7C6" w14:textId="77777777" w:rsidR="00EB4D52" w:rsidRDefault="00EB4D52" w:rsidP="00D46D62">
            <w:pPr>
              <w:pStyle w:val="NormalWeb"/>
              <w:jc w:val="center"/>
            </w:pPr>
            <w:r>
              <w:t>3,508</w:t>
            </w:r>
          </w:p>
        </w:tc>
        <w:tc>
          <w:tcPr>
            <w:tcW w:w="0" w:type="auto"/>
            <w:hideMark/>
          </w:tcPr>
          <w:p w14:paraId="25C59801" w14:textId="77777777" w:rsidR="00EB4D52" w:rsidRDefault="00EB4D52" w:rsidP="00D46D62">
            <w:pPr>
              <w:pStyle w:val="NormalWeb"/>
              <w:jc w:val="center"/>
            </w:pPr>
            <w:r>
              <w:t>52.4</w:t>
            </w:r>
          </w:p>
        </w:tc>
      </w:tr>
      <w:tr w:rsidR="00EB4D52" w14:paraId="11192091"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B7DD357" w14:textId="77777777" w:rsidR="00EB4D52" w:rsidRDefault="00EB4D52" w:rsidP="00D46D62">
            <w:pPr>
              <w:pStyle w:val="NormalWeb"/>
            </w:pPr>
            <w:r>
              <w:t>WA</w:t>
            </w:r>
          </w:p>
        </w:tc>
        <w:tc>
          <w:tcPr>
            <w:tcW w:w="0" w:type="auto"/>
            <w:hideMark/>
          </w:tcPr>
          <w:p w14:paraId="35219FBA" w14:textId="77777777" w:rsidR="00EB4D52" w:rsidRDefault="00EB4D52" w:rsidP="00D46D62">
            <w:pPr>
              <w:pStyle w:val="NormalWeb"/>
              <w:jc w:val="center"/>
            </w:pPr>
            <w:r>
              <w:t>0</w:t>
            </w:r>
          </w:p>
        </w:tc>
        <w:tc>
          <w:tcPr>
            <w:tcW w:w="0" w:type="auto"/>
            <w:hideMark/>
          </w:tcPr>
          <w:p w14:paraId="65F9645B" w14:textId="77777777" w:rsidR="00EB4D52" w:rsidRDefault="00EB4D52" w:rsidP="00D46D62">
            <w:pPr>
              <w:pStyle w:val="NormalWeb"/>
              <w:jc w:val="center"/>
            </w:pPr>
            <w:r>
              <w:t>0</w:t>
            </w:r>
          </w:p>
        </w:tc>
        <w:tc>
          <w:tcPr>
            <w:tcW w:w="0" w:type="auto"/>
            <w:hideMark/>
          </w:tcPr>
          <w:p w14:paraId="2B8BE355" w14:textId="77777777" w:rsidR="00EB4D52" w:rsidRDefault="00EB4D52" w:rsidP="00D46D62">
            <w:pPr>
              <w:pStyle w:val="NormalWeb"/>
              <w:jc w:val="center"/>
            </w:pPr>
            <w:r>
              <w:t>16</w:t>
            </w:r>
          </w:p>
        </w:tc>
        <w:tc>
          <w:tcPr>
            <w:tcW w:w="0" w:type="auto"/>
            <w:hideMark/>
          </w:tcPr>
          <w:p w14:paraId="309CF96A" w14:textId="77777777" w:rsidR="00EB4D52" w:rsidRDefault="00EB4D52" w:rsidP="00D46D62">
            <w:pPr>
              <w:pStyle w:val="NormalWeb"/>
              <w:jc w:val="center"/>
            </w:pPr>
            <w:r>
              <w:t>0.6</w:t>
            </w:r>
          </w:p>
        </w:tc>
      </w:tr>
      <w:tr w:rsidR="00EB4D52" w:rsidRPr="002F257F" w14:paraId="2C760757" w14:textId="77777777" w:rsidTr="00D46D62">
        <w:tblPrEx>
          <w:tblCellMar>
            <w:top w:w="57" w:type="dxa"/>
            <w:left w:w="57" w:type="dxa"/>
            <w:bottom w:w="57" w:type="dxa"/>
            <w:right w:w="57" w:type="dxa"/>
          </w:tblCellMar>
        </w:tblPrEx>
        <w:tc>
          <w:tcPr>
            <w:tcW w:w="0" w:type="auto"/>
            <w:shd w:val="clear" w:color="auto" w:fill="FDE9D9" w:themeFill="accent6" w:themeFillTint="33"/>
            <w:hideMark/>
          </w:tcPr>
          <w:p w14:paraId="0C0311FA" w14:textId="77777777" w:rsidR="00EB4D52" w:rsidRPr="002F257F" w:rsidRDefault="00EB4D52" w:rsidP="00D46D62">
            <w:pPr>
              <w:pStyle w:val="NormalWeb"/>
              <w:rPr>
                <w:b/>
                <w:bCs/>
              </w:rPr>
            </w:pPr>
            <w:r w:rsidRPr="002F257F">
              <w:rPr>
                <w:b/>
                <w:bCs/>
              </w:rPr>
              <w:t>Australia</w:t>
            </w:r>
          </w:p>
        </w:tc>
        <w:tc>
          <w:tcPr>
            <w:tcW w:w="0" w:type="auto"/>
            <w:shd w:val="clear" w:color="auto" w:fill="FDE9D9" w:themeFill="accent6" w:themeFillTint="33"/>
            <w:hideMark/>
          </w:tcPr>
          <w:p w14:paraId="6CD5593E" w14:textId="77777777" w:rsidR="00EB4D52" w:rsidRPr="002F257F" w:rsidRDefault="00EB4D52" w:rsidP="00D46D62">
            <w:pPr>
              <w:pStyle w:val="NormalWeb"/>
              <w:jc w:val="center"/>
              <w:rPr>
                <w:b/>
                <w:bCs/>
              </w:rPr>
            </w:pPr>
            <w:r w:rsidRPr="002F257F">
              <w:rPr>
                <w:b/>
                <w:bCs/>
              </w:rPr>
              <w:t>20,671</w:t>
            </w:r>
          </w:p>
        </w:tc>
        <w:tc>
          <w:tcPr>
            <w:tcW w:w="0" w:type="auto"/>
            <w:shd w:val="clear" w:color="auto" w:fill="FDE9D9" w:themeFill="accent6" w:themeFillTint="33"/>
            <w:hideMark/>
          </w:tcPr>
          <w:p w14:paraId="4FCD8CEB" w14:textId="77777777" w:rsidR="00EB4D52" w:rsidRPr="002F257F" w:rsidRDefault="00EB4D52" w:rsidP="00D46D62">
            <w:pPr>
              <w:pStyle w:val="NormalWeb"/>
              <w:jc w:val="center"/>
              <w:rPr>
                <w:b/>
                <w:bCs/>
              </w:rPr>
            </w:pPr>
            <w:r w:rsidRPr="002F257F">
              <w:rPr>
                <w:b/>
                <w:bCs/>
              </w:rPr>
              <w:t>12,973</w:t>
            </w:r>
          </w:p>
        </w:tc>
        <w:tc>
          <w:tcPr>
            <w:tcW w:w="0" w:type="auto"/>
            <w:shd w:val="clear" w:color="auto" w:fill="FDE9D9" w:themeFill="accent6" w:themeFillTint="33"/>
            <w:hideMark/>
          </w:tcPr>
          <w:p w14:paraId="1BA3F4B5" w14:textId="77777777" w:rsidR="00EB4D52" w:rsidRPr="002F257F" w:rsidRDefault="00EB4D52" w:rsidP="00D46D62">
            <w:pPr>
              <w:pStyle w:val="NormalWeb"/>
              <w:jc w:val="center"/>
              <w:rPr>
                <w:b/>
                <w:bCs/>
              </w:rPr>
            </w:pPr>
            <w:r w:rsidRPr="002F257F">
              <w:rPr>
                <w:b/>
                <w:bCs/>
              </w:rPr>
              <w:t>42,868</w:t>
            </w:r>
          </w:p>
        </w:tc>
        <w:tc>
          <w:tcPr>
            <w:tcW w:w="0" w:type="auto"/>
            <w:shd w:val="clear" w:color="auto" w:fill="FDE9D9" w:themeFill="accent6" w:themeFillTint="33"/>
            <w:hideMark/>
          </w:tcPr>
          <w:p w14:paraId="7BEF755A" w14:textId="77777777" w:rsidR="00EB4D52" w:rsidRPr="002F257F" w:rsidRDefault="00EB4D52" w:rsidP="00D46D62">
            <w:pPr>
              <w:pStyle w:val="NormalWeb"/>
              <w:jc w:val="center"/>
              <w:rPr>
                <w:b/>
                <w:bCs/>
              </w:rPr>
            </w:pPr>
            <w:r w:rsidRPr="002F257F">
              <w:rPr>
                <w:b/>
                <w:bCs/>
              </w:rPr>
              <w:t>166.8</w:t>
            </w:r>
          </w:p>
        </w:tc>
      </w:tr>
    </w:tbl>
    <w:p w14:paraId="47046202" w14:textId="77777777" w:rsidR="00EB4D52" w:rsidRDefault="00EB4D52" w:rsidP="00EB4D52">
      <w:pPr>
        <w:pStyle w:val="CDIfootnotes"/>
        <w:rPr>
          <w:lang w:val="en-GB"/>
        </w:rPr>
      </w:pPr>
      <w:r>
        <w:rPr>
          <w:lang w:val="en-GB"/>
        </w:rPr>
        <w:t>a</w:t>
      </w:r>
      <w:r>
        <w:rPr>
          <w:lang w:val="en-GB"/>
        </w:rPr>
        <w:tab/>
        <w:t>Source: NINDSS extract from 14 September 2021 for notifications to 12 September 2021.</w:t>
      </w:r>
    </w:p>
    <w:p w14:paraId="0E30B28F" w14:textId="77777777" w:rsidR="00EB4D52" w:rsidRDefault="00EB4D52" w:rsidP="00EB4D52">
      <w:pPr>
        <w:pStyle w:val="CDIfootnotes"/>
        <w:rPr>
          <w:lang w:val="en-GB"/>
        </w:rPr>
      </w:pPr>
      <w:r>
        <w:rPr>
          <w:lang w:val="en-GB"/>
        </w:rPr>
        <w:t>b</w:t>
      </w:r>
      <w:r>
        <w:rPr>
          <w:lang w:val="en-GB"/>
        </w:rPr>
        <w:tab/>
        <w:t>This total does not include cases that are under initial investigation.</w:t>
      </w:r>
    </w:p>
    <w:p w14:paraId="1BFA539A" w14:textId="206EF72A" w:rsidR="00EB4D52" w:rsidRDefault="00EB4D52" w:rsidP="00EB4D52">
      <w:pPr>
        <w:pStyle w:val="CDIfootnotes"/>
        <w:rPr>
          <w:lang w:val="en-GB"/>
        </w:rPr>
      </w:pPr>
      <w:r>
        <w:rPr>
          <w:lang w:val="en-GB"/>
        </w:rPr>
        <w:t>c</w:t>
      </w:r>
      <w:r>
        <w:rPr>
          <w:lang w:val="en-GB"/>
        </w:rPr>
        <w:tab/>
        <w:t>Population data based on Australian Bureau of Statistics (ABS) Estimated Resident Population (ERP) as at June 2020.</w:t>
      </w:r>
    </w:p>
    <w:p w14:paraId="43992932" w14:textId="77777777" w:rsidR="00B72414" w:rsidRDefault="00B72414">
      <w:pPr>
        <w:rPr>
          <w:rStyle w:val="Strong"/>
          <w:bCs w:val="0"/>
        </w:rPr>
      </w:pPr>
      <w:r>
        <w:rPr>
          <w:rStyle w:val="Strong"/>
          <w:b w:val="0"/>
          <w:bCs w:val="0"/>
        </w:rPr>
        <w:br w:type="page"/>
      </w:r>
    </w:p>
    <w:p w14:paraId="74123B5B" w14:textId="23A67311" w:rsidR="00B72414" w:rsidRPr="005F76C1" w:rsidRDefault="00B72414" w:rsidP="00B72414">
      <w:pPr>
        <w:pStyle w:val="CDIFigures"/>
      </w:pPr>
      <w:r w:rsidRPr="005F76C1">
        <w:rPr>
          <w:rStyle w:val="Strong"/>
          <w:b/>
          <w:bCs w:val="0"/>
        </w:rPr>
        <w:lastRenderedPageBreak/>
        <w:t xml:space="preserve">Table 3: Days since last </w:t>
      </w:r>
      <w:proofErr w:type="gramStart"/>
      <w:r w:rsidRPr="005F76C1">
        <w:rPr>
          <w:rStyle w:val="Strong"/>
          <w:b/>
          <w:bCs w:val="0"/>
        </w:rPr>
        <w:t>locally-acquired</w:t>
      </w:r>
      <w:proofErr w:type="gramEnd"/>
      <w:r w:rsidRPr="005F76C1">
        <w:rPr>
          <w:rStyle w:val="Strong"/>
          <w:b/>
          <w:bCs w:val="0"/>
        </w:rPr>
        <w:t xml:space="preserve"> COVID-19 case (source unknown and source known), by jurisdiction and diagnosis date, 12 September 2021</w:t>
      </w:r>
      <w:r w:rsidRPr="005F76C1">
        <w:rPr>
          <w:rStyle w:val="Strong"/>
          <w:b/>
          <w:bCs w:val="0"/>
          <w:vertAlign w:val="superscript"/>
        </w:rPr>
        <w:t>a</w:t>
      </w:r>
    </w:p>
    <w:tbl>
      <w:tblPr>
        <w:tblStyle w:val="CDI-StandardTable"/>
        <w:tblW w:w="0" w:type="auto"/>
        <w:tblLook w:val="04A0" w:firstRow="1" w:lastRow="0" w:firstColumn="1" w:lastColumn="0" w:noHBand="0" w:noVBand="1"/>
        <w:tblDescription w:val="Table 3 shows the number of days elapsed since the last locally-acquired COVID-19 case with known source, and with unknown source, by jurisdiction. As at the end of the current reporting period, it had been zero days since the most recently-notified locally-acquired case of unknown source, in New South Wales, with the Australian Capital Territory (1 day since most recent locally-acquired case of unknown source), Victoria (6 days) and Queensland (37 days) also reporting such cases in the year to date. As of 12 September 2021, it had been zero days also since the most recent locally-acquired case with source known (in each of the Australian Capital Territory, New South Wales, and Victoria); other jurisdictions reporting locally-acquired cases of known source since the start of the year were Queensland (1 day since most recent locally-acquired case of known source), South Australia (40 days), Western Australia (41 days) and the Northern Territory (68 days). It has been more than one year since Tasmania last recorded a locally-acquired case with known source, true also for locally-acquired cases of unknown source in the Northern Territory, South Australia, Tasmania and Western Australia."/>
      </w:tblPr>
      <w:tblGrid>
        <w:gridCol w:w="1282"/>
        <w:gridCol w:w="2296"/>
        <w:gridCol w:w="2296"/>
        <w:gridCol w:w="2296"/>
        <w:gridCol w:w="2296"/>
      </w:tblGrid>
      <w:tr w:rsidR="00B72414" w14:paraId="715FA394"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7A7C0A77" w14:textId="77777777" w:rsidR="00B72414" w:rsidRPr="00092FD1" w:rsidRDefault="00B72414" w:rsidP="00D46D62">
            <w:pPr>
              <w:pStyle w:val="NormalWeb"/>
              <w:rPr>
                <w:color w:val="FFFFFF" w:themeColor="background1"/>
              </w:rPr>
            </w:pPr>
            <w:r w:rsidRPr="00092FD1">
              <w:rPr>
                <w:color w:val="FFFFFF" w:themeColor="background1"/>
              </w:rPr>
              <w:t>Jurisdiction</w:t>
            </w:r>
          </w:p>
        </w:tc>
        <w:tc>
          <w:tcPr>
            <w:tcW w:w="4592" w:type="dxa"/>
            <w:gridSpan w:val="2"/>
            <w:tcBorders>
              <w:left w:val="single" w:sz="2" w:space="0" w:color="FFFFFF" w:themeColor="background1"/>
              <w:bottom w:val="single" w:sz="2" w:space="0" w:color="FFFFFF" w:themeColor="background1"/>
              <w:right w:val="single" w:sz="2" w:space="0" w:color="FFFFFF" w:themeColor="background1"/>
            </w:tcBorders>
            <w:hideMark/>
          </w:tcPr>
          <w:p w14:paraId="03AA738A" w14:textId="77777777" w:rsidR="00B72414" w:rsidRPr="00092FD1" w:rsidRDefault="00B72414" w:rsidP="00D46D62">
            <w:pPr>
              <w:pStyle w:val="NormalWeb"/>
              <w:jc w:val="center"/>
              <w:rPr>
                <w:color w:val="FFFFFF" w:themeColor="background1"/>
              </w:rPr>
            </w:pPr>
            <w:r w:rsidRPr="00092FD1">
              <w:rPr>
                <w:color w:val="FFFFFF" w:themeColor="background1"/>
              </w:rPr>
              <w:t xml:space="preserve">Locally acquired — source </w:t>
            </w:r>
            <w:proofErr w:type="spellStart"/>
            <w:r w:rsidRPr="00092FD1">
              <w:rPr>
                <w:color w:val="FFFFFF" w:themeColor="background1"/>
              </w:rPr>
              <w:t>unknown</w:t>
            </w:r>
            <w:r w:rsidRPr="00092FD1">
              <w:rPr>
                <w:color w:val="FFFFFF" w:themeColor="background1"/>
                <w:vertAlign w:val="superscript"/>
              </w:rPr>
              <w:t>b</w:t>
            </w:r>
            <w:proofErr w:type="spellEnd"/>
          </w:p>
        </w:tc>
        <w:tc>
          <w:tcPr>
            <w:tcW w:w="4592" w:type="dxa"/>
            <w:gridSpan w:val="2"/>
            <w:tcBorders>
              <w:left w:val="single" w:sz="2" w:space="0" w:color="FFFFFF" w:themeColor="background1"/>
              <w:bottom w:val="single" w:sz="2" w:space="0" w:color="FFFFFF" w:themeColor="background1"/>
            </w:tcBorders>
            <w:hideMark/>
          </w:tcPr>
          <w:p w14:paraId="3D1F35CC" w14:textId="77777777" w:rsidR="00B72414" w:rsidRPr="00092FD1" w:rsidRDefault="00B72414" w:rsidP="00D46D62">
            <w:pPr>
              <w:pStyle w:val="NormalWeb"/>
              <w:jc w:val="center"/>
              <w:rPr>
                <w:color w:val="FFFFFF" w:themeColor="background1"/>
              </w:rPr>
            </w:pPr>
            <w:r w:rsidRPr="00092FD1">
              <w:rPr>
                <w:color w:val="FFFFFF" w:themeColor="background1"/>
              </w:rPr>
              <w:t xml:space="preserve">Locally acquired — source </w:t>
            </w:r>
            <w:proofErr w:type="spellStart"/>
            <w:r w:rsidRPr="00092FD1">
              <w:rPr>
                <w:color w:val="FFFFFF" w:themeColor="background1"/>
              </w:rPr>
              <w:t>known</w:t>
            </w:r>
            <w:r w:rsidRPr="00092FD1">
              <w:rPr>
                <w:color w:val="FFFFFF" w:themeColor="background1"/>
                <w:vertAlign w:val="superscript"/>
              </w:rPr>
              <w:t>b</w:t>
            </w:r>
            <w:proofErr w:type="spellEnd"/>
          </w:p>
        </w:tc>
      </w:tr>
      <w:tr w:rsidR="00B72414" w14:paraId="58011A21"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7D13681D" w14:textId="77777777" w:rsidR="00B72414" w:rsidRPr="00092FD1" w:rsidRDefault="00B72414" w:rsidP="00D46D62">
            <w:pPr>
              <w:rPr>
                <w:color w:val="FFFFFF" w:themeColor="background1"/>
                <w:sz w:val="24"/>
                <w:szCs w:val="24"/>
              </w:rPr>
            </w:pP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14:paraId="6C8E0A68" w14:textId="77777777" w:rsidR="00B72414" w:rsidRPr="00092FD1" w:rsidRDefault="00B72414" w:rsidP="00D46D62">
            <w:pPr>
              <w:pStyle w:val="NormalWeb"/>
              <w:jc w:val="center"/>
              <w:rPr>
                <w:color w:val="FFFFFF" w:themeColor="background1"/>
              </w:rPr>
            </w:pPr>
            <w:r w:rsidRPr="00092FD1">
              <w:rPr>
                <w:color w:val="FFFFFF" w:themeColor="background1"/>
              </w:rPr>
              <w:t>Date of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14:paraId="20322AF3" w14:textId="77777777" w:rsidR="00B72414" w:rsidRPr="00092FD1" w:rsidRDefault="00B72414" w:rsidP="00D46D62">
            <w:pPr>
              <w:pStyle w:val="NormalWeb"/>
              <w:jc w:val="center"/>
              <w:rPr>
                <w:color w:val="FFFFFF" w:themeColor="background1"/>
              </w:rPr>
            </w:pPr>
            <w:r w:rsidRPr="00092FD1">
              <w:rPr>
                <w:color w:val="FFFFFF" w:themeColor="background1"/>
              </w:rPr>
              <w:t>Days since last case</w:t>
            </w:r>
          </w:p>
        </w:tc>
        <w:tc>
          <w:tcPr>
            <w:tcW w:w="2296" w:type="dxa"/>
            <w:tcBorders>
              <w:top w:val="single" w:sz="2" w:space="0" w:color="FFFFFF" w:themeColor="background1"/>
              <w:left w:val="single" w:sz="2" w:space="0" w:color="FFFFFF" w:themeColor="background1"/>
              <w:right w:val="single" w:sz="2" w:space="0" w:color="FFFFFF" w:themeColor="background1"/>
            </w:tcBorders>
            <w:hideMark/>
          </w:tcPr>
          <w:p w14:paraId="3FA666CC" w14:textId="77777777" w:rsidR="00B72414" w:rsidRPr="00092FD1" w:rsidRDefault="00B72414" w:rsidP="00D46D62">
            <w:pPr>
              <w:pStyle w:val="NormalWeb"/>
              <w:jc w:val="center"/>
              <w:rPr>
                <w:color w:val="FFFFFF" w:themeColor="background1"/>
              </w:rPr>
            </w:pPr>
            <w:r w:rsidRPr="00092FD1">
              <w:rPr>
                <w:color w:val="FFFFFF" w:themeColor="background1"/>
              </w:rPr>
              <w:t>Date of last case</w:t>
            </w:r>
          </w:p>
        </w:tc>
        <w:tc>
          <w:tcPr>
            <w:tcW w:w="2296" w:type="dxa"/>
            <w:tcBorders>
              <w:top w:val="single" w:sz="2" w:space="0" w:color="FFFFFF" w:themeColor="background1"/>
              <w:left w:val="single" w:sz="2" w:space="0" w:color="FFFFFF" w:themeColor="background1"/>
            </w:tcBorders>
            <w:hideMark/>
          </w:tcPr>
          <w:p w14:paraId="6DC274A0" w14:textId="77777777" w:rsidR="00B72414" w:rsidRPr="00092FD1" w:rsidRDefault="00B72414" w:rsidP="00D46D62">
            <w:pPr>
              <w:pStyle w:val="NormalWeb"/>
              <w:jc w:val="center"/>
              <w:rPr>
                <w:color w:val="FFFFFF" w:themeColor="background1"/>
              </w:rPr>
            </w:pPr>
            <w:r w:rsidRPr="00092FD1">
              <w:rPr>
                <w:color w:val="FFFFFF" w:themeColor="background1"/>
              </w:rPr>
              <w:t>Days since last case</w:t>
            </w:r>
          </w:p>
        </w:tc>
      </w:tr>
      <w:tr w:rsidR="00B72414" w14:paraId="3A1378B5" w14:textId="77777777" w:rsidTr="00D46D62">
        <w:tblPrEx>
          <w:tblCellMar>
            <w:top w:w="57" w:type="dxa"/>
            <w:left w:w="57" w:type="dxa"/>
            <w:bottom w:w="57" w:type="dxa"/>
            <w:right w:w="57" w:type="dxa"/>
          </w:tblCellMar>
        </w:tblPrEx>
        <w:tc>
          <w:tcPr>
            <w:tcW w:w="0" w:type="auto"/>
            <w:hideMark/>
          </w:tcPr>
          <w:p w14:paraId="3D545581" w14:textId="77777777" w:rsidR="00B72414" w:rsidRDefault="00B72414" w:rsidP="00D46D62">
            <w:pPr>
              <w:pStyle w:val="NormalWeb"/>
            </w:pPr>
            <w:r>
              <w:t>ACT</w:t>
            </w:r>
          </w:p>
        </w:tc>
        <w:tc>
          <w:tcPr>
            <w:tcW w:w="2296" w:type="dxa"/>
            <w:hideMark/>
          </w:tcPr>
          <w:p w14:paraId="676116D2" w14:textId="77777777" w:rsidR="00B72414" w:rsidRDefault="00B72414" w:rsidP="00D46D62">
            <w:pPr>
              <w:pStyle w:val="NormalWeb"/>
              <w:jc w:val="center"/>
            </w:pPr>
            <w:r>
              <w:t>11 September 2021</w:t>
            </w:r>
          </w:p>
        </w:tc>
        <w:tc>
          <w:tcPr>
            <w:tcW w:w="2296" w:type="dxa"/>
            <w:hideMark/>
          </w:tcPr>
          <w:p w14:paraId="12B551C8" w14:textId="77777777" w:rsidR="00B72414" w:rsidRDefault="00B72414" w:rsidP="00D46D62">
            <w:pPr>
              <w:pStyle w:val="NormalWeb"/>
              <w:jc w:val="center"/>
            </w:pPr>
            <w:r>
              <w:t>1</w:t>
            </w:r>
          </w:p>
        </w:tc>
        <w:tc>
          <w:tcPr>
            <w:tcW w:w="2296" w:type="dxa"/>
            <w:hideMark/>
          </w:tcPr>
          <w:p w14:paraId="510F10D0" w14:textId="77777777" w:rsidR="00B72414" w:rsidRDefault="00B72414" w:rsidP="00D46D62">
            <w:pPr>
              <w:pStyle w:val="NormalWeb"/>
              <w:jc w:val="center"/>
            </w:pPr>
            <w:r>
              <w:t>12 September 2021</w:t>
            </w:r>
          </w:p>
        </w:tc>
        <w:tc>
          <w:tcPr>
            <w:tcW w:w="2296" w:type="dxa"/>
            <w:hideMark/>
          </w:tcPr>
          <w:p w14:paraId="4A04ED61" w14:textId="77777777" w:rsidR="00B72414" w:rsidRDefault="00B72414" w:rsidP="00D46D62">
            <w:pPr>
              <w:pStyle w:val="NormalWeb"/>
              <w:jc w:val="center"/>
            </w:pPr>
            <w:r>
              <w:t>0</w:t>
            </w:r>
          </w:p>
        </w:tc>
      </w:tr>
      <w:tr w:rsidR="00B72414" w14:paraId="70489F3F"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180A82C3" w14:textId="77777777" w:rsidR="00B72414" w:rsidRDefault="00B72414" w:rsidP="00D46D62">
            <w:pPr>
              <w:pStyle w:val="NormalWeb"/>
            </w:pPr>
            <w:r>
              <w:t>NSW</w:t>
            </w:r>
          </w:p>
        </w:tc>
        <w:tc>
          <w:tcPr>
            <w:tcW w:w="2296" w:type="dxa"/>
            <w:hideMark/>
          </w:tcPr>
          <w:p w14:paraId="66471F7F" w14:textId="77777777" w:rsidR="00B72414" w:rsidRDefault="00B72414" w:rsidP="00D46D62">
            <w:pPr>
              <w:pStyle w:val="NormalWeb"/>
              <w:jc w:val="center"/>
            </w:pPr>
            <w:r>
              <w:t>12 September 2021</w:t>
            </w:r>
          </w:p>
        </w:tc>
        <w:tc>
          <w:tcPr>
            <w:tcW w:w="2296" w:type="dxa"/>
            <w:hideMark/>
          </w:tcPr>
          <w:p w14:paraId="51902EDE" w14:textId="77777777" w:rsidR="00B72414" w:rsidRDefault="00B72414" w:rsidP="00D46D62">
            <w:pPr>
              <w:pStyle w:val="NormalWeb"/>
              <w:jc w:val="center"/>
            </w:pPr>
            <w:r>
              <w:t>0</w:t>
            </w:r>
          </w:p>
        </w:tc>
        <w:tc>
          <w:tcPr>
            <w:tcW w:w="2296" w:type="dxa"/>
            <w:hideMark/>
          </w:tcPr>
          <w:p w14:paraId="2362CB6C" w14:textId="77777777" w:rsidR="00B72414" w:rsidRDefault="00B72414" w:rsidP="00D46D62">
            <w:pPr>
              <w:pStyle w:val="NormalWeb"/>
              <w:jc w:val="center"/>
            </w:pPr>
            <w:r>
              <w:t>12 September 2021</w:t>
            </w:r>
          </w:p>
        </w:tc>
        <w:tc>
          <w:tcPr>
            <w:tcW w:w="2296" w:type="dxa"/>
            <w:hideMark/>
          </w:tcPr>
          <w:p w14:paraId="2022C0BC" w14:textId="77777777" w:rsidR="00B72414" w:rsidRDefault="00B72414" w:rsidP="00D46D62">
            <w:pPr>
              <w:pStyle w:val="NormalWeb"/>
              <w:jc w:val="center"/>
            </w:pPr>
            <w:r>
              <w:t>0</w:t>
            </w:r>
          </w:p>
        </w:tc>
      </w:tr>
      <w:tr w:rsidR="00B72414" w14:paraId="17A918DF" w14:textId="77777777" w:rsidTr="00D46D62">
        <w:tblPrEx>
          <w:tblCellMar>
            <w:top w:w="57" w:type="dxa"/>
            <w:left w:w="57" w:type="dxa"/>
            <w:bottom w:w="57" w:type="dxa"/>
            <w:right w:w="57" w:type="dxa"/>
          </w:tblCellMar>
        </w:tblPrEx>
        <w:tc>
          <w:tcPr>
            <w:tcW w:w="0" w:type="auto"/>
            <w:hideMark/>
          </w:tcPr>
          <w:p w14:paraId="2D122182" w14:textId="77777777" w:rsidR="00B72414" w:rsidRDefault="00B72414" w:rsidP="00D46D62">
            <w:pPr>
              <w:pStyle w:val="NormalWeb"/>
            </w:pPr>
            <w:r>
              <w:t>NT</w:t>
            </w:r>
          </w:p>
        </w:tc>
        <w:tc>
          <w:tcPr>
            <w:tcW w:w="2296" w:type="dxa"/>
            <w:hideMark/>
          </w:tcPr>
          <w:p w14:paraId="2B9C482D" w14:textId="77777777" w:rsidR="00B72414" w:rsidRDefault="00B72414" w:rsidP="00D46D62">
            <w:pPr>
              <w:pStyle w:val="NormalWeb"/>
              <w:jc w:val="center"/>
            </w:pPr>
            <w:proofErr w:type="spellStart"/>
            <w:r>
              <w:t>NA</w:t>
            </w:r>
            <w:r w:rsidRPr="00171E21">
              <w:rPr>
                <w:vertAlign w:val="superscript"/>
              </w:rPr>
              <w:t>c</w:t>
            </w:r>
            <w:proofErr w:type="spellEnd"/>
          </w:p>
        </w:tc>
        <w:tc>
          <w:tcPr>
            <w:tcW w:w="2296" w:type="dxa"/>
            <w:hideMark/>
          </w:tcPr>
          <w:p w14:paraId="2589B8EC" w14:textId="77777777" w:rsidR="00B72414" w:rsidRDefault="00B72414" w:rsidP="00D46D62">
            <w:pPr>
              <w:pStyle w:val="NormalWeb"/>
              <w:jc w:val="center"/>
            </w:pPr>
            <w:proofErr w:type="spellStart"/>
            <w:r>
              <w:t>NA</w:t>
            </w:r>
            <w:r w:rsidRPr="00171E21">
              <w:rPr>
                <w:vertAlign w:val="superscript"/>
              </w:rPr>
              <w:t>c</w:t>
            </w:r>
            <w:proofErr w:type="spellEnd"/>
          </w:p>
        </w:tc>
        <w:tc>
          <w:tcPr>
            <w:tcW w:w="2296" w:type="dxa"/>
            <w:hideMark/>
          </w:tcPr>
          <w:p w14:paraId="2F87EFA8" w14:textId="77777777" w:rsidR="00B72414" w:rsidRDefault="00B72414" w:rsidP="00D46D62">
            <w:pPr>
              <w:pStyle w:val="NormalWeb"/>
              <w:jc w:val="center"/>
            </w:pPr>
            <w:r>
              <w:t>6 July 2021</w:t>
            </w:r>
          </w:p>
        </w:tc>
        <w:tc>
          <w:tcPr>
            <w:tcW w:w="2296" w:type="dxa"/>
            <w:hideMark/>
          </w:tcPr>
          <w:p w14:paraId="0D01C32C" w14:textId="77777777" w:rsidR="00B72414" w:rsidRDefault="00B72414" w:rsidP="00D46D62">
            <w:pPr>
              <w:pStyle w:val="NormalWeb"/>
              <w:jc w:val="center"/>
            </w:pPr>
            <w:r>
              <w:t>68</w:t>
            </w:r>
          </w:p>
        </w:tc>
      </w:tr>
      <w:tr w:rsidR="00B72414" w14:paraId="4C453200"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D2BEB18" w14:textId="77777777" w:rsidR="00B72414" w:rsidRDefault="00B72414" w:rsidP="00D46D62">
            <w:pPr>
              <w:pStyle w:val="NormalWeb"/>
            </w:pPr>
            <w:r>
              <w:t>Qld</w:t>
            </w:r>
          </w:p>
        </w:tc>
        <w:tc>
          <w:tcPr>
            <w:tcW w:w="2296" w:type="dxa"/>
            <w:hideMark/>
          </w:tcPr>
          <w:p w14:paraId="28E6C785" w14:textId="77777777" w:rsidR="00B72414" w:rsidRDefault="00B72414" w:rsidP="00D46D62">
            <w:pPr>
              <w:pStyle w:val="NormalWeb"/>
              <w:jc w:val="center"/>
            </w:pPr>
            <w:r>
              <w:t>6 August 2021</w:t>
            </w:r>
          </w:p>
        </w:tc>
        <w:tc>
          <w:tcPr>
            <w:tcW w:w="2296" w:type="dxa"/>
            <w:hideMark/>
          </w:tcPr>
          <w:p w14:paraId="3880FDF4" w14:textId="77777777" w:rsidR="00B72414" w:rsidRDefault="00B72414" w:rsidP="00D46D62">
            <w:pPr>
              <w:pStyle w:val="NormalWeb"/>
              <w:jc w:val="center"/>
            </w:pPr>
            <w:r>
              <w:t>37</w:t>
            </w:r>
          </w:p>
        </w:tc>
        <w:tc>
          <w:tcPr>
            <w:tcW w:w="2296" w:type="dxa"/>
            <w:hideMark/>
          </w:tcPr>
          <w:p w14:paraId="479B3BCD" w14:textId="77777777" w:rsidR="00B72414" w:rsidRDefault="00B72414" w:rsidP="00D46D62">
            <w:pPr>
              <w:pStyle w:val="NormalWeb"/>
              <w:jc w:val="center"/>
            </w:pPr>
            <w:r>
              <w:t>11 September 2021</w:t>
            </w:r>
          </w:p>
        </w:tc>
        <w:tc>
          <w:tcPr>
            <w:tcW w:w="2296" w:type="dxa"/>
            <w:hideMark/>
          </w:tcPr>
          <w:p w14:paraId="29521039" w14:textId="77777777" w:rsidR="00B72414" w:rsidRDefault="00B72414" w:rsidP="00D46D62">
            <w:pPr>
              <w:pStyle w:val="NormalWeb"/>
              <w:jc w:val="center"/>
            </w:pPr>
            <w:r>
              <w:t>1</w:t>
            </w:r>
          </w:p>
        </w:tc>
      </w:tr>
      <w:tr w:rsidR="00B72414" w14:paraId="5D4164AA" w14:textId="77777777" w:rsidTr="00D46D62">
        <w:tblPrEx>
          <w:tblCellMar>
            <w:top w:w="57" w:type="dxa"/>
            <w:left w:w="57" w:type="dxa"/>
            <w:bottom w:w="57" w:type="dxa"/>
            <w:right w:w="57" w:type="dxa"/>
          </w:tblCellMar>
        </w:tblPrEx>
        <w:tc>
          <w:tcPr>
            <w:tcW w:w="0" w:type="auto"/>
            <w:hideMark/>
          </w:tcPr>
          <w:p w14:paraId="159BF4EE" w14:textId="77777777" w:rsidR="00B72414" w:rsidRDefault="00B72414" w:rsidP="00D46D62">
            <w:pPr>
              <w:pStyle w:val="NormalWeb"/>
            </w:pPr>
            <w:r>
              <w:t>SA</w:t>
            </w:r>
          </w:p>
        </w:tc>
        <w:tc>
          <w:tcPr>
            <w:tcW w:w="2296" w:type="dxa"/>
            <w:hideMark/>
          </w:tcPr>
          <w:p w14:paraId="1B101A84" w14:textId="77777777" w:rsidR="00B72414" w:rsidRDefault="00B72414" w:rsidP="00D46D62">
            <w:pPr>
              <w:pStyle w:val="NormalWeb"/>
              <w:jc w:val="center"/>
            </w:pPr>
            <w:r>
              <w:t>24 March 2020</w:t>
            </w:r>
          </w:p>
        </w:tc>
        <w:tc>
          <w:tcPr>
            <w:tcW w:w="2296" w:type="dxa"/>
            <w:hideMark/>
          </w:tcPr>
          <w:p w14:paraId="53D5FB71" w14:textId="77777777" w:rsidR="00B72414" w:rsidRDefault="00B72414" w:rsidP="00D46D62">
            <w:pPr>
              <w:pStyle w:val="NormalWeb"/>
              <w:jc w:val="center"/>
            </w:pPr>
            <w:r>
              <w:t>537</w:t>
            </w:r>
          </w:p>
        </w:tc>
        <w:tc>
          <w:tcPr>
            <w:tcW w:w="2296" w:type="dxa"/>
            <w:hideMark/>
          </w:tcPr>
          <w:p w14:paraId="531BEE73" w14:textId="77777777" w:rsidR="00B72414" w:rsidRDefault="00B72414" w:rsidP="00D46D62">
            <w:pPr>
              <w:pStyle w:val="NormalWeb"/>
              <w:jc w:val="center"/>
            </w:pPr>
            <w:r>
              <w:t>3 August 2021</w:t>
            </w:r>
          </w:p>
        </w:tc>
        <w:tc>
          <w:tcPr>
            <w:tcW w:w="2296" w:type="dxa"/>
            <w:hideMark/>
          </w:tcPr>
          <w:p w14:paraId="719787CB" w14:textId="77777777" w:rsidR="00B72414" w:rsidRDefault="00B72414" w:rsidP="00D46D62">
            <w:pPr>
              <w:pStyle w:val="NormalWeb"/>
              <w:jc w:val="center"/>
            </w:pPr>
            <w:r>
              <w:t>40</w:t>
            </w:r>
          </w:p>
        </w:tc>
      </w:tr>
      <w:tr w:rsidR="00B72414" w14:paraId="60BB3345"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0BFB995" w14:textId="77777777" w:rsidR="00B72414" w:rsidRDefault="00B72414" w:rsidP="00D46D62">
            <w:pPr>
              <w:pStyle w:val="NormalWeb"/>
            </w:pPr>
            <w:r>
              <w:t>Tas.</w:t>
            </w:r>
          </w:p>
        </w:tc>
        <w:tc>
          <w:tcPr>
            <w:tcW w:w="2296" w:type="dxa"/>
            <w:hideMark/>
          </w:tcPr>
          <w:p w14:paraId="463F4B37" w14:textId="77777777" w:rsidR="00B72414" w:rsidRDefault="00B72414" w:rsidP="00D46D62">
            <w:pPr>
              <w:pStyle w:val="NormalWeb"/>
              <w:jc w:val="center"/>
            </w:pPr>
            <w:r>
              <w:t>9 August 2020</w:t>
            </w:r>
          </w:p>
        </w:tc>
        <w:tc>
          <w:tcPr>
            <w:tcW w:w="2296" w:type="dxa"/>
            <w:hideMark/>
          </w:tcPr>
          <w:p w14:paraId="05355EC4" w14:textId="77777777" w:rsidR="00B72414" w:rsidRDefault="00B72414" w:rsidP="00D46D62">
            <w:pPr>
              <w:pStyle w:val="NormalWeb"/>
              <w:jc w:val="center"/>
            </w:pPr>
            <w:r>
              <w:t>399</w:t>
            </w:r>
          </w:p>
        </w:tc>
        <w:tc>
          <w:tcPr>
            <w:tcW w:w="2296" w:type="dxa"/>
            <w:hideMark/>
          </w:tcPr>
          <w:p w14:paraId="6B813A40" w14:textId="77777777" w:rsidR="00B72414" w:rsidRDefault="00B72414" w:rsidP="00D46D62">
            <w:pPr>
              <w:pStyle w:val="NormalWeb"/>
              <w:jc w:val="center"/>
            </w:pPr>
            <w:r>
              <w:t>24 April 2020</w:t>
            </w:r>
          </w:p>
        </w:tc>
        <w:tc>
          <w:tcPr>
            <w:tcW w:w="2296" w:type="dxa"/>
            <w:hideMark/>
          </w:tcPr>
          <w:p w14:paraId="57A49A2A" w14:textId="77777777" w:rsidR="00B72414" w:rsidRDefault="00B72414" w:rsidP="00D46D62">
            <w:pPr>
              <w:pStyle w:val="NormalWeb"/>
              <w:jc w:val="center"/>
            </w:pPr>
            <w:r>
              <w:t>506</w:t>
            </w:r>
          </w:p>
        </w:tc>
      </w:tr>
      <w:tr w:rsidR="00B72414" w14:paraId="5356B3A2" w14:textId="77777777" w:rsidTr="00D46D62">
        <w:tblPrEx>
          <w:tblCellMar>
            <w:top w:w="57" w:type="dxa"/>
            <w:left w:w="57" w:type="dxa"/>
            <w:bottom w:w="57" w:type="dxa"/>
            <w:right w:w="57" w:type="dxa"/>
          </w:tblCellMar>
        </w:tblPrEx>
        <w:tc>
          <w:tcPr>
            <w:tcW w:w="0" w:type="auto"/>
            <w:hideMark/>
          </w:tcPr>
          <w:p w14:paraId="08AABB22" w14:textId="77777777" w:rsidR="00B72414" w:rsidRDefault="00B72414" w:rsidP="00D46D62">
            <w:pPr>
              <w:pStyle w:val="NormalWeb"/>
            </w:pPr>
            <w:r>
              <w:t>Vic.</w:t>
            </w:r>
          </w:p>
        </w:tc>
        <w:tc>
          <w:tcPr>
            <w:tcW w:w="2296" w:type="dxa"/>
            <w:hideMark/>
          </w:tcPr>
          <w:p w14:paraId="18D9AB65" w14:textId="77777777" w:rsidR="00B72414" w:rsidRDefault="00B72414" w:rsidP="00D46D62">
            <w:pPr>
              <w:pStyle w:val="NormalWeb"/>
              <w:jc w:val="center"/>
            </w:pPr>
            <w:r>
              <w:t>6 September 2021</w:t>
            </w:r>
          </w:p>
        </w:tc>
        <w:tc>
          <w:tcPr>
            <w:tcW w:w="2296" w:type="dxa"/>
            <w:hideMark/>
          </w:tcPr>
          <w:p w14:paraId="71910353" w14:textId="77777777" w:rsidR="00B72414" w:rsidRDefault="00B72414" w:rsidP="00D46D62">
            <w:pPr>
              <w:pStyle w:val="NormalWeb"/>
              <w:jc w:val="center"/>
            </w:pPr>
            <w:r>
              <w:t>6</w:t>
            </w:r>
          </w:p>
        </w:tc>
        <w:tc>
          <w:tcPr>
            <w:tcW w:w="2296" w:type="dxa"/>
            <w:hideMark/>
          </w:tcPr>
          <w:p w14:paraId="63398BD9" w14:textId="77777777" w:rsidR="00B72414" w:rsidRDefault="00B72414" w:rsidP="00D46D62">
            <w:pPr>
              <w:pStyle w:val="NormalWeb"/>
              <w:jc w:val="center"/>
            </w:pPr>
            <w:r>
              <w:t>12 September 2021</w:t>
            </w:r>
          </w:p>
        </w:tc>
        <w:tc>
          <w:tcPr>
            <w:tcW w:w="2296" w:type="dxa"/>
            <w:hideMark/>
          </w:tcPr>
          <w:p w14:paraId="31B6F80C" w14:textId="77777777" w:rsidR="00B72414" w:rsidRDefault="00B72414" w:rsidP="00D46D62">
            <w:pPr>
              <w:pStyle w:val="NormalWeb"/>
              <w:jc w:val="center"/>
            </w:pPr>
            <w:r>
              <w:t>0</w:t>
            </w:r>
          </w:p>
        </w:tc>
      </w:tr>
      <w:tr w:rsidR="00B72414" w14:paraId="622C9F56"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0362E6F" w14:textId="77777777" w:rsidR="00B72414" w:rsidRDefault="00B72414" w:rsidP="00D46D62">
            <w:pPr>
              <w:pStyle w:val="NormalWeb"/>
            </w:pPr>
            <w:r>
              <w:t>WA</w:t>
            </w:r>
          </w:p>
        </w:tc>
        <w:tc>
          <w:tcPr>
            <w:tcW w:w="2296" w:type="dxa"/>
            <w:hideMark/>
          </w:tcPr>
          <w:p w14:paraId="79A03755" w14:textId="77777777" w:rsidR="00B72414" w:rsidRDefault="00B72414" w:rsidP="00D46D62">
            <w:pPr>
              <w:pStyle w:val="NormalWeb"/>
              <w:jc w:val="center"/>
            </w:pPr>
            <w:r>
              <w:t>3 April 2020</w:t>
            </w:r>
          </w:p>
        </w:tc>
        <w:tc>
          <w:tcPr>
            <w:tcW w:w="2296" w:type="dxa"/>
            <w:hideMark/>
          </w:tcPr>
          <w:p w14:paraId="12779E02" w14:textId="77777777" w:rsidR="00B72414" w:rsidRDefault="00B72414" w:rsidP="00D46D62">
            <w:pPr>
              <w:pStyle w:val="NormalWeb"/>
              <w:jc w:val="center"/>
            </w:pPr>
            <w:r>
              <w:t>527</w:t>
            </w:r>
          </w:p>
        </w:tc>
        <w:tc>
          <w:tcPr>
            <w:tcW w:w="2296" w:type="dxa"/>
            <w:hideMark/>
          </w:tcPr>
          <w:p w14:paraId="11F57C62" w14:textId="77777777" w:rsidR="00B72414" w:rsidRDefault="00B72414" w:rsidP="00D46D62">
            <w:pPr>
              <w:pStyle w:val="NormalWeb"/>
              <w:jc w:val="center"/>
            </w:pPr>
            <w:r>
              <w:t>2 August 2021</w:t>
            </w:r>
          </w:p>
        </w:tc>
        <w:tc>
          <w:tcPr>
            <w:tcW w:w="2296" w:type="dxa"/>
            <w:hideMark/>
          </w:tcPr>
          <w:p w14:paraId="11B18449" w14:textId="77777777" w:rsidR="00B72414" w:rsidRDefault="00B72414" w:rsidP="00D46D62">
            <w:pPr>
              <w:pStyle w:val="NormalWeb"/>
              <w:jc w:val="center"/>
            </w:pPr>
            <w:r>
              <w:t>41</w:t>
            </w:r>
          </w:p>
        </w:tc>
      </w:tr>
    </w:tbl>
    <w:p w14:paraId="64E996A2" w14:textId="77777777" w:rsidR="00B72414" w:rsidRDefault="00B72414" w:rsidP="00B72414">
      <w:pPr>
        <w:pStyle w:val="CDIfootnotes"/>
        <w:rPr>
          <w:lang w:val="en-GB"/>
        </w:rPr>
      </w:pPr>
      <w:r>
        <w:rPr>
          <w:lang w:val="en-GB"/>
        </w:rPr>
        <w:t>a</w:t>
      </w:r>
      <w:r>
        <w:rPr>
          <w:lang w:val="en-GB"/>
        </w:rPr>
        <w:tab/>
        <w:t>Source: NINDSS, extract from 14 September 2021 for notifications to 12 September 2021.</w:t>
      </w:r>
    </w:p>
    <w:p w14:paraId="7044B05F" w14:textId="77777777" w:rsidR="00B72414" w:rsidRDefault="00B72414" w:rsidP="00B72414">
      <w:pPr>
        <w:pStyle w:val="CDIfootnotes"/>
        <w:rPr>
          <w:lang w:val="en-GB"/>
        </w:rPr>
      </w:pPr>
      <w:r>
        <w:rPr>
          <w:lang w:val="en-GB"/>
        </w:rPr>
        <w:t>b</w:t>
      </w:r>
      <w:r>
        <w:rPr>
          <w:lang w:val="en-GB"/>
        </w:rPr>
        <w:tab/>
        <w:t xml:space="preserve">This does not include </w:t>
      </w:r>
      <w:proofErr w:type="gramStart"/>
      <w:r>
        <w:rPr>
          <w:lang w:val="en-GB"/>
        </w:rPr>
        <w:t>locally-acquired</w:t>
      </w:r>
      <w:proofErr w:type="gramEnd"/>
      <w:r>
        <w:rPr>
          <w:lang w:val="en-GB"/>
        </w:rPr>
        <w:t xml:space="preserve"> cases that were interstate acquired.</w:t>
      </w:r>
    </w:p>
    <w:p w14:paraId="5C0CD9F4" w14:textId="65CE2AB8" w:rsidR="00B72414" w:rsidRPr="00EB4D52" w:rsidRDefault="00B72414" w:rsidP="00EB4D52">
      <w:pPr>
        <w:pStyle w:val="CDIfootnotes"/>
        <w:rPr>
          <w:lang w:val="en-GB"/>
        </w:rPr>
      </w:pPr>
      <w:r>
        <w:rPr>
          <w:lang w:val="en-GB"/>
        </w:rPr>
        <w:t>c</w:t>
      </w:r>
      <w:r>
        <w:rPr>
          <w:lang w:val="en-GB"/>
        </w:rPr>
        <w:tab/>
        <w:t xml:space="preserve">NA: not applicable. The Northern Territory has not reported any </w:t>
      </w:r>
      <w:proofErr w:type="gramStart"/>
      <w:r>
        <w:rPr>
          <w:lang w:val="en-GB"/>
        </w:rPr>
        <w:t>locally-acquired</w:t>
      </w:r>
      <w:proofErr w:type="gramEnd"/>
      <w:r>
        <w:rPr>
          <w:lang w:val="en-GB"/>
        </w:rPr>
        <w:t xml:space="preserve"> cases with an unknown source of infection.</w:t>
      </w:r>
    </w:p>
    <w:p w14:paraId="54A4A230" w14:textId="77777777" w:rsidR="00612295" w:rsidRDefault="00612295" w:rsidP="00D57237">
      <w:r>
        <w:t xml:space="preserve">In the reporting period, New South Wales reported the largest number of cases (50%; 24/48) that were overseas acquired, followed by South Australia (21%; 10/48). In the past 28 days (16 August – 12 September 2021), 31% (40/131) of overseas-acquired cases reported an unknown country of acquisition. Cases acquired at sea (46%; 42/91) were the most frequent of those with an identified country of acquisition in the past 28 days, followed by cases acquired in the Philippines (8%; 7/91) and Afghanistan (5%; 5/91). The number of cases acquired in different countries is influenced by travel patterns of returning Australians, travel restrictions, and the prevalence of COVID-19 in the country of travel. </w:t>
      </w:r>
    </w:p>
    <w:p w14:paraId="4AEEEA39" w14:textId="77777777" w:rsidR="00612295" w:rsidRDefault="00612295" w:rsidP="00D57237">
      <w:pPr>
        <w:pStyle w:val="Heading2"/>
        <w:rPr>
          <w:rFonts w:eastAsia="Times New Roman"/>
        </w:rPr>
      </w:pPr>
      <w:r>
        <w:rPr>
          <w:rFonts w:eastAsia="Times New Roman"/>
        </w:rPr>
        <w:t xml:space="preserve">Demographic features </w:t>
      </w:r>
    </w:p>
    <w:p w14:paraId="4A9C5DEE" w14:textId="77777777" w:rsidR="00612295" w:rsidRPr="00D57237" w:rsidRDefault="00612295" w:rsidP="00D57237">
      <w:pPr>
        <w:pStyle w:val="Heading3"/>
      </w:pPr>
      <w:r w:rsidRPr="00D57237">
        <w:rPr>
          <w:rStyle w:val="Emphasis"/>
          <w:b/>
          <w:bCs/>
          <w:spacing w:val="0"/>
        </w:rPr>
        <w:t xml:space="preserve">(NINDSS) </w:t>
      </w:r>
    </w:p>
    <w:p w14:paraId="6BCC4967" w14:textId="77777777" w:rsidR="00612295" w:rsidRDefault="00612295" w:rsidP="00D57237">
      <w:r>
        <w:t xml:space="preserve">In this reporting period, the largest proportion of cases occurred in those aged 20 to 29 years (22%; 4,964/22,766). For this year, the highest rate of infection has been in those aged 20 to 29 years with a rate of 286.5 infections per 100,000 population (Figure 3; Appendix A, Table A.1). Adults aged 70 to 79 years have had the lowest rate of infection this year. </w:t>
      </w:r>
    </w:p>
    <w:p w14:paraId="1728DB5F" w14:textId="65186AF8" w:rsidR="00612295" w:rsidRDefault="00612295" w:rsidP="00D57237">
      <w:r>
        <w:t>In 2021, notification rates were similar among males and females in those aged 0 to 19 and over 80 years old. In all other age groups, notification rates were higher among males than females (Figure 3; Appendix A, Table A.1). The median age of cases in this reporting period was 29 years (range: 0 to 101 years; interquartile range, IQR: 17 to 44</w:t>
      </w:r>
      <w:r w:rsidR="00361D47">
        <w:t> </w:t>
      </w:r>
      <w:r>
        <w:t xml:space="preserve">years). </w:t>
      </w:r>
    </w:p>
    <w:p w14:paraId="57730676" w14:textId="77777777" w:rsidR="009E6701" w:rsidRDefault="009E6701">
      <w:pPr>
        <w:rPr>
          <w:rStyle w:val="Strong"/>
          <w:bCs w:val="0"/>
        </w:rPr>
      </w:pPr>
      <w:r>
        <w:rPr>
          <w:rStyle w:val="Strong"/>
          <w:b w:val="0"/>
          <w:bCs w:val="0"/>
        </w:rPr>
        <w:br w:type="page"/>
      </w:r>
    </w:p>
    <w:p w14:paraId="1528606A" w14:textId="51FC4F17" w:rsidR="009E6701" w:rsidRPr="00171E21" w:rsidRDefault="009E6701" w:rsidP="009E6701">
      <w:pPr>
        <w:pStyle w:val="CDIFigures"/>
      </w:pPr>
      <w:r w:rsidRPr="00171E21">
        <w:rPr>
          <w:rStyle w:val="Strong"/>
          <w:b/>
          <w:bCs w:val="0"/>
        </w:rPr>
        <w:lastRenderedPageBreak/>
        <w:t>Figure 3: Cumulative COVID-19 cases for the calendar year to date, by age group and sex, Australia, with a diagnosis date of 1 January 2021 – 12 September 2021</w:t>
      </w:r>
      <w:r w:rsidRPr="00171E21">
        <w:rPr>
          <w:rStyle w:val="Strong"/>
          <w:b/>
          <w:bCs w:val="0"/>
          <w:vertAlign w:val="superscript"/>
        </w:rPr>
        <w:t>a</w:t>
      </w:r>
    </w:p>
    <w:p w14:paraId="49077695" w14:textId="77777777" w:rsidR="009E6701" w:rsidRDefault="009E6701" w:rsidP="009E6701">
      <w:pPr>
        <w:pStyle w:val="NormalWeb"/>
        <w:rPr>
          <w:lang w:val="en-GB"/>
        </w:rPr>
      </w:pPr>
      <w:r>
        <w:rPr>
          <w:noProof/>
          <w:lang w:val="en-GB"/>
        </w:rPr>
        <w:drawing>
          <wp:inline distT="0" distB="0" distL="0" distR="0" wp14:anchorId="14028ADD" wp14:editId="1D472055">
            <wp:extent cx="6721986" cy="3268980"/>
            <wp:effectExtent l="0" t="0" r="3175" b="7620"/>
            <wp:docPr id="7" name="Picture 7" descr="A bar chart showing the cumulative rates per 100,000 population of confirmed COVID-19 cases, for this calendar year to date, as at  12 September 2021, by 10-year age group and sex. For this calendar year, the highest notification rates have been in the 20 to 29 year age group, followed by the 10 to 19 and 30 to 39 year age groups. In all age groups except those aged 0 to 19 years, males have a higher rate than females among cases notified in 2021 to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ar chart showing the cumulative rates per 100,000 population of confirmed COVID-19 cases, for this calendar year to date, as at  12 September 2021, by 10-year age group and sex. For this calendar year, the highest notification rates have been in the 20 to 29 year age group, followed by the 10 to 19 and 30 to 39 year age groups. In all age groups except those aged 0 to 19 years, males have a higher rate than females among cases notified in 2021 to date."/>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736159" cy="3275873"/>
                    </a:xfrm>
                    <a:prstGeom prst="rect">
                      <a:avLst/>
                    </a:prstGeom>
                  </pic:spPr>
                </pic:pic>
              </a:graphicData>
            </a:graphic>
          </wp:inline>
        </w:drawing>
      </w:r>
    </w:p>
    <w:p w14:paraId="4E00F0F2" w14:textId="4F28126E" w:rsidR="009E6701" w:rsidRPr="002074AD" w:rsidRDefault="009E6701" w:rsidP="002074AD">
      <w:pPr>
        <w:pStyle w:val="CDIfootnotes"/>
        <w:rPr>
          <w:lang w:val="en-GB"/>
        </w:rPr>
      </w:pPr>
      <w:r>
        <w:rPr>
          <w:lang w:val="en-US"/>
        </w:rPr>
        <w:t>a</w:t>
      </w:r>
      <w:r>
        <w:rPr>
          <w:lang w:val="en-US"/>
        </w:rPr>
        <w:tab/>
        <w:t>Source: NINDSS, extract from 14 September 2021 for notifications to 12 September 2021.</w:t>
      </w:r>
    </w:p>
    <w:p w14:paraId="1574952B" w14:textId="77777777" w:rsidR="00612295" w:rsidRPr="00D57237" w:rsidRDefault="00612295" w:rsidP="00D57237">
      <w:pPr>
        <w:pStyle w:val="Heading2"/>
      </w:pPr>
      <w:r w:rsidRPr="00D57237">
        <w:t xml:space="preserve">Aboriginal and Torres Strait Islander persons </w:t>
      </w:r>
    </w:p>
    <w:p w14:paraId="348B5B4D" w14:textId="77777777" w:rsidR="00612295" w:rsidRPr="00D57237" w:rsidRDefault="00612295" w:rsidP="00D57237">
      <w:pPr>
        <w:pStyle w:val="Heading3"/>
      </w:pPr>
      <w:r w:rsidRPr="00D57237">
        <w:rPr>
          <w:rStyle w:val="Emphasis"/>
          <w:b/>
          <w:bCs/>
          <w:spacing w:val="0"/>
        </w:rPr>
        <w:t xml:space="preserve">(NINDSS) </w:t>
      </w:r>
    </w:p>
    <w:p w14:paraId="613A7A27" w14:textId="77777777" w:rsidR="00612295" w:rsidRDefault="00612295" w:rsidP="00D57237">
      <w:r>
        <w:t xml:space="preserve">During the reporting period, there were 810 new cases notified in Aboriginal and Torres Strait Islander people: with 795 from New South Wales; nine from the Australian Capital Territory; and three each from Queensland and Victoria. Since the beginning of 2021, there have been 1,615 confirmed cases of COVID-19 notified in Aboriginal and Torres Strait Islander people, representing 3% (1,615/46,729) of all confirmed cases this year. Of the </w:t>
      </w:r>
      <w:proofErr w:type="gramStart"/>
      <w:r>
        <w:t>locally-acquired</w:t>
      </w:r>
      <w:proofErr w:type="gramEnd"/>
      <w:r>
        <w:t xml:space="preserve"> cases notified in 2021, 41% (653/1,600) resided in a regional or remote area. </w:t>
      </w:r>
    </w:p>
    <w:p w14:paraId="1B6D1A90" w14:textId="77777777" w:rsidR="00612295" w:rsidRDefault="00612295" w:rsidP="00D57237">
      <w:r>
        <w:t xml:space="preserve">The majority of cases reported in Aboriginal and Torres Strait Islander people in 2021 have been associated with the Sydney metropolitan and western regional outbreaks in New South Wales, with 1,584 locally acquired cases reported in Aboriginal and Torres Strait Islander people in New South Wales since 16 June 2021 when the outbreak began. Since the start of the pandemic, there have been three COVID-19 associated deaths in Aboriginal and Torres Strait Islander people, which were associated with the current Western New South Wales regional outbreak. </w:t>
      </w:r>
    </w:p>
    <w:p w14:paraId="43A0CB79" w14:textId="77777777" w:rsidR="00612295" w:rsidRDefault="00612295" w:rsidP="00D57237">
      <w:r>
        <w:t xml:space="preserve">In total, up to 12 September 2021, there have been 1,762 cases in Aboriginal and Torres Strait Islander people, representing approximately 2% (1,762/75,139) of all confirmed cases in </w:t>
      </w:r>
      <w:proofErr w:type="gramStart"/>
      <w:r>
        <w:t>Australia, since</w:t>
      </w:r>
      <w:proofErr w:type="gramEnd"/>
      <w:r>
        <w:t xml:space="preserve"> January 2020. Indigenous status was unknown for approximately 25% (18,476/75,139) of confirmed cases, with the majority of these associated with more recently reported cases, especially in New South Wales. </w:t>
      </w:r>
    </w:p>
    <w:p w14:paraId="0AAAAD8A" w14:textId="77777777" w:rsidR="00612295" w:rsidRDefault="00612295" w:rsidP="00D57237">
      <w:r>
        <w:t xml:space="preserve">As at 12 September 2021, it had been zero days since the last </w:t>
      </w:r>
      <w:proofErr w:type="gramStart"/>
      <w:r>
        <w:t>locally-acquired</w:t>
      </w:r>
      <w:proofErr w:type="gramEnd"/>
      <w:r>
        <w:t xml:space="preserve"> Aboriginal and Torres Strait Islander case was diagnosed and 57 days since the last overseas-acquired Aboriginal and Torres Strait Islander case was diagnosed. To date, </w:t>
      </w:r>
      <w:proofErr w:type="gramStart"/>
      <w:r>
        <w:t>the majority of</w:t>
      </w:r>
      <w:proofErr w:type="gramEnd"/>
      <w:r>
        <w:t xml:space="preserve"> Aboriginal and Torres Strait Islander cases were reported as locally acquired (97%; 1,715/1,762), with 37 cases overseas acquired and ten cases under investigation. The median age of </w:t>
      </w:r>
      <w:proofErr w:type="gramStart"/>
      <w:r>
        <w:t>locally-acquired</w:t>
      </w:r>
      <w:proofErr w:type="gramEnd"/>
      <w:r>
        <w:t xml:space="preserve"> Aboriginal and Torres Strait Islander cases was 24 years old (range 0 to 99 years), while the median age of </w:t>
      </w:r>
      <w:r>
        <w:lastRenderedPageBreak/>
        <w:t xml:space="preserve">overseas-acquired cases was 40 years old (range 7 to 75 years). Overall, there has been a slightly higher proportion of cases among females (52%; 918/1,760) than among males (48%; 842/1,760), with the denominator being cases where sex was known. </w:t>
      </w:r>
    </w:p>
    <w:p w14:paraId="50D02CAC" w14:textId="77777777" w:rsidR="00612295" w:rsidRPr="00D57237" w:rsidRDefault="00612295" w:rsidP="00D57237">
      <w:pPr>
        <w:pStyle w:val="Heading2"/>
      </w:pPr>
      <w:r w:rsidRPr="00D57237">
        <w:t xml:space="preserve">Vaccinations </w:t>
      </w:r>
    </w:p>
    <w:p w14:paraId="5D4E9C66" w14:textId="77777777" w:rsidR="00612295" w:rsidRPr="00D57237" w:rsidRDefault="00612295" w:rsidP="00D57237">
      <w:pPr>
        <w:pStyle w:val="Heading3"/>
        <w:rPr>
          <w:i/>
          <w:iCs/>
        </w:rPr>
      </w:pPr>
      <w:r w:rsidRPr="00D57237">
        <w:rPr>
          <w:i/>
          <w:iCs/>
        </w:rPr>
        <w:t xml:space="preserve">(Department of Health) </w:t>
      </w:r>
    </w:p>
    <w:p w14:paraId="2BD2CDB2" w14:textId="56B28FE3" w:rsidR="00612295" w:rsidRDefault="00612295" w:rsidP="00D57237">
      <w:r>
        <w:t>As of 15 August 2021, a total of 22,802,573 doses of COVID-19 vaccine had been administered (Table 4), including 859,976 doses provided to aged care and disability residents.</w:t>
      </w:r>
    </w:p>
    <w:p w14:paraId="08C6D8C4" w14:textId="77777777" w:rsidR="00C25047" w:rsidRPr="00D51619" w:rsidRDefault="00C25047" w:rsidP="00C25047">
      <w:pPr>
        <w:pStyle w:val="CDIFigures"/>
      </w:pPr>
      <w:r w:rsidRPr="00D51619">
        <w:rPr>
          <w:rStyle w:val="Strong"/>
          <w:b/>
          <w:bCs w:val="0"/>
        </w:rPr>
        <w:t>Table 4: Total number of vaccinations administered, by jurisdiction, Australia, 12 September 2021</w:t>
      </w:r>
      <w:r w:rsidRPr="00D51619">
        <w:rPr>
          <w:rStyle w:val="Strong"/>
          <w:b/>
          <w:bCs w:val="0"/>
          <w:vertAlign w:val="superscript"/>
        </w:rPr>
        <w:t>a</w:t>
      </w:r>
    </w:p>
    <w:tbl>
      <w:tblPr>
        <w:tblStyle w:val="CDI-StandardTable"/>
        <w:tblW w:w="0" w:type="auto"/>
        <w:tblLook w:val="04A0" w:firstRow="1" w:lastRow="0" w:firstColumn="1" w:lastColumn="0" w:noHBand="0" w:noVBand="1"/>
        <w:tblDescription w:val="Table 4 shows the total number of vaccinations administered to date within each jurisdiction, noting also the Commonwealth-administered vaccinations provided to residents in aged care and disability settings and those administered in primary care settings. Of the 22,802,573 vaccinations administered as of 12 September 2021, slightly more than half (12,243,145 vaccinations) have been administered in primary care settings, with a further 859,976 vaccines administered to those in aged care and disability facilities. Of the vaccines administered by the states and territories, the greatest number has been administered by authorities in New South Wales (8,177,988 vaccines), followed by 5,881,075 vaccines administered by authorities in Victoria."/>
      </w:tblPr>
      <w:tblGrid>
        <w:gridCol w:w="4820"/>
        <w:gridCol w:w="5620"/>
      </w:tblGrid>
      <w:tr w:rsidR="00C25047" w:rsidRPr="00D51619" w14:paraId="782C44D7" w14:textId="77777777" w:rsidTr="00D46D62">
        <w:trPr>
          <w:cnfStyle w:val="100000000000" w:firstRow="1" w:lastRow="0" w:firstColumn="0" w:lastColumn="0" w:oddVBand="0" w:evenVBand="0" w:oddHBand="0" w:evenHBand="0" w:firstRowFirstColumn="0" w:firstRowLastColumn="0" w:lastRowFirstColumn="0" w:lastRowLastColumn="0"/>
        </w:trPr>
        <w:tc>
          <w:tcPr>
            <w:tcW w:w="4820" w:type="dxa"/>
            <w:tcBorders>
              <w:right w:val="single" w:sz="2" w:space="0" w:color="FFFFFF" w:themeColor="background1"/>
            </w:tcBorders>
            <w:hideMark/>
          </w:tcPr>
          <w:p w14:paraId="4F769E4F" w14:textId="77777777" w:rsidR="00C25047" w:rsidRPr="00D51619" w:rsidRDefault="00C25047" w:rsidP="00D46D62">
            <w:pPr>
              <w:pStyle w:val="NormalWeb"/>
              <w:rPr>
                <w:color w:val="FFFFFF" w:themeColor="background1"/>
              </w:rPr>
            </w:pPr>
            <w:r w:rsidRPr="00D51619">
              <w:rPr>
                <w:color w:val="FFFFFF" w:themeColor="background1"/>
              </w:rPr>
              <w:t>Jurisdiction</w:t>
            </w:r>
          </w:p>
        </w:tc>
        <w:tc>
          <w:tcPr>
            <w:tcW w:w="5620" w:type="dxa"/>
            <w:tcBorders>
              <w:left w:val="single" w:sz="2" w:space="0" w:color="FFFFFF" w:themeColor="background1"/>
            </w:tcBorders>
            <w:hideMark/>
          </w:tcPr>
          <w:p w14:paraId="14A42501" w14:textId="77777777" w:rsidR="00C25047" w:rsidRPr="00D51619" w:rsidRDefault="00C25047" w:rsidP="00D46D62">
            <w:pPr>
              <w:pStyle w:val="NormalWeb"/>
              <w:jc w:val="center"/>
              <w:rPr>
                <w:color w:val="FFFFFF" w:themeColor="background1"/>
              </w:rPr>
            </w:pPr>
            <w:r w:rsidRPr="00D51619">
              <w:rPr>
                <w:color w:val="FFFFFF" w:themeColor="background1"/>
              </w:rPr>
              <w:t>Total number of doses administered</w:t>
            </w:r>
          </w:p>
        </w:tc>
      </w:tr>
      <w:tr w:rsidR="00C25047" w:rsidRPr="00D51619" w14:paraId="04E45953" w14:textId="77777777" w:rsidTr="00D46D62">
        <w:tblPrEx>
          <w:tblCellMar>
            <w:top w:w="57" w:type="dxa"/>
            <w:left w:w="57" w:type="dxa"/>
            <w:bottom w:w="57" w:type="dxa"/>
            <w:right w:w="57" w:type="dxa"/>
          </w:tblCellMar>
        </w:tblPrEx>
        <w:tc>
          <w:tcPr>
            <w:tcW w:w="4820" w:type="dxa"/>
            <w:hideMark/>
          </w:tcPr>
          <w:p w14:paraId="5559F61F" w14:textId="77777777" w:rsidR="00C25047" w:rsidRPr="00D51619" w:rsidRDefault="00C25047" w:rsidP="00D46D62">
            <w:pPr>
              <w:pStyle w:val="NormalWeb"/>
              <w:rPr>
                <w:color w:val="000000" w:themeColor="text1"/>
              </w:rPr>
            </w:pPr>
            <w:r w:rsidRPr="00D51619">
              <w:rPr>
                <w:color w:val="000000" w:themeColor="text1"/>
              </w:rPr>
              <w:t>ACT</w:t>
            </w:r>
          </w:p>
        </w:tc>
        <w:tc>
          <w:tcPr>
            <w:tcW w:w="5620" w:type="dxa"/>
            <w:hideMark/>
          </w:tcPr>
          <w:p w14:paraId="7743F394" w14:textId="77777777" w:rsidR="00C25047" w:rsidRPr="00D51619" w:rsidRDefault="00C25047" w:rsidP="00D46D62">
            <w:pPr>
              <w:pStyle w:val="NormalWeb"/>
              <w:jc w:val="center"/>
              <w:rPr>
                <w:color w:val="000000" w:themeColor="text1"/>
              </w:rPr>
            </w:pPr>
            <w:r w:rsidRPr="00D51619">
              <w:rPr>
                <w:color w:val="000000" w:themeColor="text1"/>
              </w:rPr>
              <w:t>541,271</w:t>
            </w:r>
          </w:p>
        </w:tc>
      </w:tr>
      <w:tr w:rsidR="00C25047" w:rsidRPr="00D51619" w14:paraId="0DFA7D68"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47436FA3" w14:textId="77777777" w:rsidR="00C25047" w:rsidRPr="00D51619" w:rsidRDefault="00C25047" w:rsidP="00D46D62">
            <w:pPr>
              <w:pStyle w:val="NormalWeb"/>
              <w:rPr>
                <w:color w:val="000000" w:themeColor="text1"/>
              </w:rPr>
            </w:pPr>
            <w:r w:rsidRPr="00D51619">
              <w:rPr>
                <w:color w:val="000000" w:themeColor="text1"/>
              </w:rPr>
              <w:t>NSW</w:t>
            </w:r>
          </w:p>
        </w:tc>
        <w:tc>
          <w:tcPr>
            <w:tcW w:w="5620" w:type="dxa"/>
            <w:hideMark/>
          </w:tcPr>
          <w:p w14:paraId="011E99AF" w14:textId="77777777" w:rsidR="00C25047" w:rsidRPr="00D51619" w:rsidRDefault="00C25047" w:rsidP="00D46D62">
            <w:pPr>
              <w:pStyle w:val="NormalWeb"/>
              <w:jc w:val="center"/>
              <w:rPr>
                <w:color w:val="000000" w:themeColor="text1"/>
              </w:rPr>
            </w:pPr>
            <w:r w:rsidRPr="00D51619">
              <w:rPr>
                <w:color w:val="000000" w:themeColor="text1"/>
              </w:rPr>
              <w:t>8,177,988</w:t>
            </w:r>
          </w:p>
        </w:tc>
      </w:tr>
      <w:tr w:rsidR="00C25047" w:rsidRPr="00D51619" w14:paraId="53A0BD78" w14:textId="77777777" w:rsidTr="00D46D62">
        <w:tblPrEx>
          <w:tblCellMar>
            <w:top w:w="57" w:type="dxa"/>
            <w:left w:w="57" w:type="dxa"/>
            <w:bottom w:w="57" w:type="dxa"/>
            <w:right w:w="57" w:type="dxa"/>
          </w:tblCellMar>
        </w:tblPrEx>
        <w:tc>
          <w:tcPr>
            <w:tcW w:w="4820" w:type="dxa"/>
            <w:hideMark/>
          </w:tcPr>
          <w:p w14:paraId="5DA9C66A" w14:textId="77777777" w:rsidR="00C25047" w:rsidRPr="00D51619" w:rsidRDefault="00C25047" w:rsidP="00D46D62">
            <w:pPr>
              <w:pStyle w:val="NormalWeb"/>
              <w:rPr>
                <w:color w:val="000000" w:themeColor="text1"/>
              </w:rPr>
            </w:pPr>
            <w:r w:rsidRPr="00D51619">
              <w:rPr>
                <w:color w:val="000000" w:themeColor="text1"/>
              </w:rPr>
              <w:t>NT</w:t>
            </w:r>
          </w:p>
        </w:tc>
        <w:tc>
          <w:tcPr>
            <w:tcW w:w="5620" w:type="dxa"/>
            <w:hideMark/>
          </w:tcPr>
          <w:p w14:paraId="552DA85C" w14:textId="77777777" w:rsidR="00C25047" w:rsidRPr="00D51619" w:rsidRDefault="00C25047" w:rsidP="00D46D62">
            <w:pPr>
              <w:pStyle w:val="NormalWeb"/>
              <w:jc w:val="center"/>
              <w:rPr>
                <w:color w:val="000000" w:themeColor="text1"/>
              </w:rPr>
            </w:pPr>
            <w:r w:rsidRPr="00D51619">
              <w:rPr>
                <w:color w:val="000000" w:themeColor="text1"/>
              </w:rPr>
              <w:t>235,794</w:t>
            </w:r>
          </w:p>
        </w:tc>
      </w:tr>
      <w:tr w:rsidR="00C25047" w:rsidRPr="00D51619" w14:paraId="6BC60D2E"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58917B96" w14:textId="77777777" w:rsidR="00C25047" w:rsidRPr="00D51619" w:rsidRDefault="00C25047" w:rsidP="00D46D62">
            <w:pPr>
              <w:pStyle w:val="NormalWeb"/>
              <w:rPr>
                <w:color w:val="000000" w:themeColor="text1"/>
              </w:rPr>
            </w:pPr>
            <w:r w:rsidRPr="00D51619">
              <w:rPr>
                <w:color w:val="000000" w:themeColor="text1"/>
              </w:rPr>
              <w:t>Qld</w:t>
            </w:r>
          </w:p>
        </w:tc>
        <w:tc>
          <w:tcPr>
            <w:tcW w:w="5620" w:type="dxa"/>
            <w:hideMark/>
          </w:tcPr>
          <w:p w14:paraId="603EFEE9" w14:textId="77777777" w:rsidR="00C25047" w:rsidRPr="00D51619" w:rsidRDefault="00C25047" w:rsidP="00D46D62">
            <w:pPr>
              <w:pStyle w:val="NormalWeb"/>
              <w:jc w:val="center"/>
              <w:rPr>
                <w:color w:val="000000" w:themeColor="text1"/>
              </w:rPr>
            </w:pPr>
            <w:r w:rsidRPr="00D51619">
              <w:rPr>
                <w:color w:val="000000" w:themeColor="text1"/>
              </w:rPr>
              <w:t>3,980,510</w:t>
            </w:r>
          </w:p>
        </w:tc>
      </w:tr>
      <w:tr w:rsidR="00C25047" w:rsidRPr="00D51619" w14:paraId="14315711" w14:textId="77777777" w:rsidTr="00D46D62">
        <w:tblPrEx>
          <w:tblCellMar>
            <w:top w:w="57" w:type="dxa"/>
            <w:left w:w="57" w:type="dxa"/>
            <w:bottom w:w="57" w:type="dxa"/>
            <w:right w:w="57" w:type="dxa"/>
          </w:tblCellMar>
        </w:tblPrEx>
        <w:tc>
          <w:tcPr>
            <w:tcW w:w="4820" w:type="dxa"/>
            <w:hideMark/>
          </w:tcPr>
          <w:p w14:paraId="27F48411" w14:textId="77777777" w:rsidR="00C25047" w:rsidRPr="00D51619" w:rsidRDefault="00C25047" w:rsidP="00D46D62">
            <w:pPr>
              <w:pStyle w:val="NormalWeb"/>
              <w:rPr>
                <w:color w:val="000000" w:themeColor="text1"/>
              </w:rPr>
            </w:pPr>
            <w:r w:rsidRPr="00D51619">
              <w:rPr>
                <w:color w:val="000000" w:themeColor="text1"/>
              </w:rPr>
              <w:t>SA</w:t>
            </w:r>
          </w:p>
        </w:tc>
        <w:tc>
          <w:tcPr>
            <w:tcW w:w="5620" w:type="dxa"/>
            <w:hideMark/>
          </w:tcPr>
          <w:p w14:paraId="6A7B3872" w14:textId="77777777" w:rsidR="00C25047" w:rsidRPr="00D51619" w:rsidRDefault="00C25047" w:rsidP="00D46D62">
            <w:pPr>
              <w:pStyle w:val="NormalWeb"/>
              <w:jc w:val="center"/>
              <w:rPr>
                <w:color w:val="000000" w:themeColor="text1"/>
              </w:rPr>
            </w:pPr>
            <w:r w:rsidRPr="00D51619">
              <w:rPr>
                <w:color w:val="000000" w:themeColor="text1"/>
              </w:rPr>
              <w:t>1,439,865</w:t>
            </w:r>
          </w:p>
        </w:tc>
      </w:tr>
      <w:tr w:rsidR="00C25047" w:rsidRPr="00D51619" w14:paraId="394782A7"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43E5DEFF" w14:textId="77777777" w:rsidR="00C25047" w:rsidRPr="00D51619" w:rsidRDefault="00C25047" w:rsidP="00D46D62">
            <w:pPr>
              <w:pStyle w:val="NormalWeb"/>
              <w:rPr>
                <w:color w:val="000000" w:themeColor="text1"/>
              </w:rPr>
            </w:pPr>
            <w:r w:rsidRPr="00D51619">
              <w:rPr>
                <w:color w:val="000000" w:themeColor="text1"/>
              </w:rPr>
              <w:t>Tas.</w:t>
            </w:r>
          </w:p>
        </w:tc>
        <w:tc>
          <w:tcPr>
            <w:tcW w:w="5620" w:type="dxa"/>
            <w:hideMark/>
          </w:tcPr>
          <w:p w14:paraId="64A8C2D6" w14:textId="77777777" w:rsidR="00C25047" w:rsidRPr="00D51619" w:rsidRDefault="00C25047" w:rsidP="00D46D62">
            <w:pPr>
              <w:pStyle w:val="NormalWeb"/>
              <w:jc w:val="center"/>
              <w:rPr>
                <w:color w:val="000000" w:themeColor="text1"/>
              </w:rPr>
            </w:pPr>
            <w:r w:rsidRPr="00D51619">
              <w:rPr>
                <w:color w:val="000000" w:themeColor="text1"/>
              </w:rPr>
              <w:t>506,654</w:t>
            </w:r>
          </w:p>
        </w:tc>
      </w:tr>
      <w:tr w:rsidR="00C25047" w:rsidRPr="00D51619" w14:paraId="71672E2E" w14:textId="77777777" w:rsidTr="00D46D62">
        <w:tblPrEx>
          <w:tblCellMar>
            <w:top w:w="57" w:type="dxa"/>
            <w:left w:w="57" w:type="dxa"/>
            <w:bottom w:w="57" w:type="dxa"/>
            <w:right w:w="57" w:type="dxa"/>
          </w:tblCellMar>
        </w:tblPrEx>
        <w:tc>
          <w:tcPr>
            <w:tcW w:w="4820" w:type="dxa"/>
            <w:hideMark/>
          </w:tcPr>
          <w:p w14:paraId="076C24A0" w14:textId="77777777" w:rsidR="00C25047" w:rsidRPr="00D51619" w:rsidRDefault="00C25047" w:rsidP="00D46D62">
            <w:pPr>
              <w:pStyle w:val="NormalWeb"/>
              <w:rPr>
                <w:color w:val="000000" w:themeColor="text1"/>
              </w:rPr>
            </w:pPr>
            <w:r w:rsidRPr="00D51619">
              <w:rPr>
                <w:color w:val="000000" w:themeColor="text1"/>
              </w:rPr>
              <w:t>Vic.</w:t>
            </w:r>
          </w:p>
        </w:tc>
        <w:tc>
          <w:tcPr>
            <w:tcW w:w="5620" w:type="dxa"/>
            <w:hideMark/>
          </w:tcPr>
          <w:p w14:paraId="5AC5CD70" w14:textId="77777777" w:rsidR="00C25047" w:rsidRPr="00D51619" w:rsidRDefault="00C25047" w:rsidP="00D46D62">
            <w:pPr>
              <w:pStyle w:val="NormalWeb"/>
              <w:jc w:val="center"/>
              <w:rPr>
                <w:color w:val="000000" w:themeColor="text1"/>
              </w:rPr>
            </w:pPr>
            <w:r w:rsidRPr="00D51619">
              <w:rPr>
                <w:color w:val="000000" w:themeColor="text1"/>
              </w:rPr>
              <w:t>5,881,075</w:t>
            </w:r>
          </w:p>
        </w:tc>
      </w:tr>
      <w:tr w:rsidR="00C25047" w:rsidRPr="00D51619" w14:paraId="54341F98"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1E639B84" w14:textId="77777777" w:rsidR="00C25047" w:rsidRPr="00D51619" w:rsidRDefault="00C25047" w:rsidP="00D46D62">
            <w:pPr>
              <w:pStyle w:val="NormalWeb"/>
              <w:rPr>
                <w:color w:val="000000" w:themeColor="text1"/>
              </w:rPr>
            </w:pPr>
            <w:r w:rsidRPr="00D51619">
              <w:rPr>
                <w:color w:val="000000" w:themeColor="text1"/>
              </w:rPr>
              <w:t>WA</w:t>
            </w:r>
          </w:p>
        </w:tc>
        <w:tc>
          <w:tcPr>
            <w:tcW w:w="5620" w:type="dxa"/>
            <w:hideMark/>
          </w:tcPr>
          <w:p w14:paraId="6E51D3B8" w14:textId="77777777" w:rsidR="00C25047" w:rsidRPr="00D51619" w:rsidRDefault="00C25047" w:rsidP="00D46D62">
            <w:pPr>
              <w:pStyle w:val="NormalWeb"/>
              <w:jc w:val="center"/>
              <w:rPr>
                <w:color w:val="000000" w:themeColor="text1"/>
              </w:rPr>
            </w:pPr>
            <w:r w:rsidRPr="00D51619">
              <w:rPr>
                <w:color w:val="000000" w:themeColor="text1"/>
              </w:rPr>
              <w:t>2,039,416</w:t>
            </w:r>
          </w:p>
        </w:tc>
      </w:tr>
      <w:tr w:rsidR="00C25047" w:rsidRPr="00D51619" w14:paraId="00C1FA31" w14:textId="77777777" w:rsidTr="00D46D62">
        <w:tblPrEx>
          <w:tblCellMar>
            <w:top w:w="57" w:type="dxa"/>
            <w:left w:w="57" w:type="dxa"/>
            <w:bottom w:w="57" w:type="dxa"/>
            <w:right w:w="57" w:type="dxa"/>
          </w:tblCellMar>
        </w:tblPrEx>
        <w:tc>
          <w:tcPr>
            <w:tcW w:w="4820" w:type="dxa"/>
            <w:hideMark/>
          </w:tcPr>
          <w:p w14:paraId="6EACFDD5" w14:textId="77777777" w:rsidR="00C25047" w:rsidRPr="00D51619" w:rsidRDefault="00C25047" w:rsidP="00D46D62">
            <w:pPr>
              <w:pStyle w:val="NormalWeb"/>
              <w:rPr>
                <w:color w:val="000000" w:themeColor="text1"/>
              </w:rPr>
            </w:pPr>
            <w:r w:rsidRPr="00D51619">
              <w:rPr>
                <w:color w:val="000000" w:themeColor="text1"/>
              </w:rPr>
              <w:t xml:space="preserve">Aged care and disability </w:t>
            </w:r>
            <w:proofErr w:type="spellStart"/>
            <w:r w:rsidRPr="00D51619">
              <w:rPr>
                <w:color w:val="000000" w:themeColor="text1"/>
              </w:rPr>
              <w:t>facilities</w:t>
            </w:r>
            <w:r w:rsidRPr="00D51619">
              <w:rPr>
                <w:color w:val="000000" w:themeColor="text1"/>
                <w:vertAlign w:val="superscript"/>
              </w:rPr>
              <w:t>b</w:t>
            </w:r>
            <w:proofErr w:type="spellEnd"/>
          </w:p>
        </w:tc>
        <w:tc>
          <w:tcPr>
            <w:tcW w:w="5620" w:type="dxa"/>
            <w:hideMark/>
          </w:tcPr>
          <w:p w14:paraId="7D92B8A1" w14:textId="77777777" w:rsidR="00C25047" w:rsidRPr="00D51619" w:rsidRDefault="00C25047" w:rsidP="00D46D62">
            <w:pPr>
              <w:pStyle w:val="NormalWeb"/>
              <w:jc w:val="center"/>
              <w:rPr>
                <w:color w:val="000000" w:themeColor="text1"/>
              </w:rPr>
            </w:pPr>
            <w:r w:rsidRPr="00D51619">
              <w:rPr>
                <w:color w:val="000000" w:themeColor="text1"/>
              </w:rPr>
              <w:t>859,976</w:t>
            </w:r>
          </w:p>
        </w:tc>
      </w:tr>
      <w:tr w:rsidR="00C25047" w:rsidRPr="00D51619" w14:paraId="5A611881"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820" w:type="dxa"/>
            <w:hideMark/>
          </w:tcPr>
          <w:p w14:paraId="2CA7ED76" w14:textId="77777777" w:rsidR="00C25047" w:rsidRPr="00D51619" w:rsidRDefault="00C25047" w:rsidP="00D46D62">
            <w:pPr>
              <w:pStyle w:val="NormalWeb"/>
              <w:rPr>
                <w:color w:val="000000" w:themeColor="text1"/>
              </w:rPr>
            </w:pPr>
            <w:r w:rsidRPr="00D51619">
              <w:rPr>
                <w:color w:val="000000" w:themeColor="text1"/>
              </w:rPr>
              <w:t xml:space="preserve">Primary </w:t>
            </w:r>
            <w:proofErr w:type="spellStart"/>
            <w:r w:rsidRPr="00D51619">
              <w:rPr>
                <w:color w:val="000000" w:themeColor="text1"/>
              </w:rPr>
              <w:t>care</w:t>
            </w:r>
            <w:r w:rsidRPr="00D51619">
              <w:rPr>
                <w:color w:val="000000" w:themeColor="text1"/>
                <w:vertAlign w:val="superscript"/>
              </w:rPr>
              <w:t>c</w:t>
            </w:r>
            <w:proofErr w:type="spellEnd"/>
          </w:p>
        </w:tc>
        <w:tc>
          <w:tcPr>
            <w:tcW w:w="5620" w:type="dxa"/>
            <w:hideMark/>
          </w:tcPr>
          <w:p w14:paraId="414DA288" w14:textId="77777777" w:rsidR="00C25047" w:rsidRPr="00D51619" w:rsidRDefault="00C25047" w:rsidP="00D46D62">
            <w:pPr>
              <w:pStyle w:val="NormalWeb"/>
              <w:jc w:val="center"/>
              <w:rPr>
                <w:color w:val="000000" w:themeColor="text1"/>
              </w:rPr>
            </w:pPr>
            <w:r w:rsidRPr="00D51619">
              <w:rPr>
                <w:color w:val="000000" w:themeColor="text1"/>
              </w:rPr>
              <w:t>12,243,145</w:t>
            </w:r>
          </w:p>
        </w:tc>
      </w:tr>
      <w:tr w:rsidR="00C25047" w:rsidRPr="00D51619" w14:paraId="7033B398" w14:textId="77777777" w:rsidTr="00D46D62">
        <w:tblPrEx>
          <w:tblCellMar>
            <w:top w:w="57" w:type="dxa"/>
            <w:left w:w="57" w:type="dxa"/>
            <w:bottom w:w="57" w:type="dxa"/>
            <w:right w:w="57" w:type="dxa"/>
          </w:tblCellMar>
        </w:tblPrEx>
        <w:tc>
          <w:tcPr>
            <w:tcW w:w="4820" w:type="dxa"/>
            <w:shd w:val="clear" w:color="auto" w:fill="FDE9D9" w:themeFill="accent6" w:themeFillTint="33"/>
            <w:hideMark/>
          </w:tcPr>
          <w:p w14:paraId="59F5EDF8" w14:textId="77777777" w:rsidR="00C25047" w:rsidRPr="00D51619" w:rsidRDefault="00C25047" w:rsidP="00D46D62">
            <w:pPr>
              <w:pStyle w:val="NormalWeb"/>
              <w:rPr>
                <w:b/>
                <w:bCs/>
                <w:color w:val="000000" w:themeColor="text1"/>
              </w:rPr>
            </w:pPr>
            <w:r w:rsidRPr="00D51619">
              <w:rPr>
                <w:b/>
                <w:bCs/>
                <w:color w:val="000000" w:themeColor="text1"/>
              </w:rPr>
              <w:t>Total</w:t>
            </w:r>
          </w:p>
        </w:tc>
        <w:tc>
          <w:tcPr>
            <w:tcW w:w="5620" w:type="dxa"/>
            <w:shd w:val="clear" w:color="auto" w:fill="FDE9D9" w:themeFill="accent6" w:themeFillTint="33"/>
            <w:hideMark/>
          </w:tcPr>
          <w:p w14:paraId="4AB72C84" w14:textId="77777777" w:rsidR="00C25047" w:rsidRPr="00D51619" w:rsidRDefault="00C25047" w:rsidP="00D46D62">
            <w:pPr>
              <w:pStyle w:val="NormalWeb"/>
              <w:jc w:val="center"/>
              <w:rPr>
                <w:b/>
                <w:bCs/>
                <w:color w:val="000000" w:themeColor="text1"/>
              </w:rPr>
            </w:pPr>
            <w:r w:rsidRPr="00D51619">
              <w:rPr>
                <w:b/>
                <w:bCs/>
                <w:color w:val="000000" w:themeColor="text1"/>
              </w:rPr>
              <w:t>22,802,573</w:t>
            </w:r>
          </w:p>
        </w:tc>
      </w:tr>
    </w:tbl>
    <w:p w14:paraId="0A7DC0CA" w14:textId="77777777" w:rsidR="00C25047" w:rsidRDefault="00C25047" w:rsidP="00C25047">
      <w:pPr>
        <w:pStyle w:val="CDIfootnotes"/>
        <w:rPr>
          <w:lang w:val="en-GB"/>
        </w:rPr>
      </w:pPr>
      <w:r>
        <w:rPr>
          <w:lang w:val="en-GB"/>
        </w:rPr>
        <w:t>a</w:t>
      </w:r>
      <w:r>
        <w:rPr>
          <w:lang w:val="en-GB"/>
        </w:rPr>
        <w:tab/>
        <w:t>Source: Australian Government Department of Health website.</w:t>
      </w:r>
      <w:r w:rsidRPr="00C25047">
        <w:rPr>
          <w:vertAlign w:val="superscript"/>
          <w:lang w:val="en-GB"/>
        </w:rPr>
        <w:t>4</w:t>
      </w:r>
    </w:p>
    <w:p w14:paraId="1559AE85" w14:textId="77777777" w:rsidR="00C25047" w:rsidRDefault="00C25047" w:rsidP="00C25047">
      <w:pPr>
        <w:pStyle w:val="CDIfootnotes"/>
        <w:rPr>
          <w:lang w:val="en-GB"/>
        </w:rPr>
      </w:pPr>
      <w:r>
        <w:rPr>
          <w:lang w:val="en-GB"/>
        </w:rPr>
        <w:t>b</w:t>
      </w:r>
      <w:r>
        <w:rPr>
          <w:lang w:val="en-GB"/>
        </w:rPr>
        <w:tab/>
        <w:t>Commonwealth vaccine doses administered in aged care and disability facilities.</w:t>
      </w:r>
    </w:p>
    <w:p w14:paraId="1B46DE32" w14:textId="3EC0A563" w:rsidR="00C25047" w:rsidRPr="00C25047" w:rsidRDefault="00C25047" w:rsidP="00C25047">
      <w:pPr>
        <w:pStyle w:val="CDIfootnotes"/>
        <w:rPr>
          <w:lang w:val="en-GB"/>
        </w:rPr>
      </w:pPr>
      <w:r>
        <w:rPr>
          <w:lang w:val="en-GB"/>
        </w:rPr>
        <w:t>c</w:t>
      </w:r>
      <w:r>
        <w:rPr>
          <w:lang w:val="en-GB"/>
        </w:rPr>
        <w:tab/>
        <w:t>Commonwealth vaccine doses administered in primary care settings.</w:t>
      </w:r>
    </w:p>
    <w:p w14:paraId="5129FAEF" w14:textId="77777777" w:rsidR="00612295" w:rsidRPr="00D57237" w:rsidRDefault="00612295" w:rsidP="00D57237">
      <w:pPr>
        <w:pStyle w:val="Heading2"/>
      </w:pPr>
      <w:r w:rsidRPr="00D57237">
        <w:t xml:space="preserve">Clusters and outbreaks </w:t>
      </w:r>
    </w:p>
    <w:p w14:paraId="528C716C" w14:textId="77777777" w:rsidR="00612295" w:rsidRPr="00EA5B3B" w:rsidRDefault="00612295" w:rsidP="00D57237">
      <w:pPr>
        <w:pStyle w:val="Heading3"/>
      </w:pPr>
      <w:r w:rsidRPr="00EA5B3B">
        <w:t xml:space="preserve">New South Wales </w:t>
      </w:r>
    </w:p>
    <w:p w14:paraId="70E82AD3" w14:textId="77777777" w:rsidR="00612295" w:rsidRDefault="00612295" w:rsidP="00D57237">
      <w:r>
        <w:t xml:space="preserve">In total, as at 12 September 2021, there had been 38,856 </w:t>
      </w:r>
      <w:proofErr w:type="gramStart"/>
      <w:r>
        <w:t>locally-acquired</w:t>
      </w:r>
      <w:proofErr w:type="gramEnd"/>
      <w:r>
        <w:t xml:space="preserve"> cases in New South Wales, including 183 deaths, reported following notification of the first case in this outbreak on 16 June 2021. Genomic testing results showed that the first case was infected with the Delta SARS-CoV-2 variant of concern (B.1.617.2); however, the sequence did not match cases from the Victorian Delta variant outbreak that occurred from May to June 2021. This sequence had not been seen in Australia previously, but matched one from the United States of America. </w:t>
      </w:r>
    </w:p>
    <w:p w14:paraId="15BFE4C1" w14:textId="77777777" w:rsidR="00612295" w:rsidRDefault="00612295" w:rsidP="00D57237">
      <w:r>
        <w:t xml:space="preserve">The size of the New South Wales outbreak continued to increase during the reporting period, with 18,344 </w:t>
      </w:r>
      <w:proofErr w:type="gramStart"/>
      <w:r>
        <w:t>locally-acquired</w:t>
      </w:r>
      <w:proofErr w:type="gramEnd"/>
      <w:r>
        <w:t xml:space="preserve"> cases reported, compared to 11,876 locally-acquired cases reported in the previous reporting period. Whilst the outbreak started in south-east Sydney, the majority of </w:t>
      </w:r>
      <w:proofErr w:type="gramStart"/>
      <w:r>
        <w:t>recently-reported</w:t>
      </w:r>
      <w:proofErr w:type="gramEnd"/>
      <w:r>
        <w:t xml:space="preserve"> cases continued to be among residents of south-western and western Sydney, with cases also reported in residents of regional and remote areas in New South Wales, particularly in western New South Wales. </w:t>
      </w:r>
    </w:p>
    <w:p w14:paraId="676B7A47" w14:textId="77777777" w:rsidR="00361D47" w:rsidRDefault="00361D47">
      <w:pPr>
        <w:rPr>
          <w:rFonts w:asciiTheme="majorHAnsi" w:eastAsiaTheme="majorEastAsia" w:hAnsiTheme="majorHAnsi" w:cstheme="majorBidi"/>
          <w:b/>
          <w:bCs/>
        </w:rPr>
      </w:pPr>
      <w:r>
        <w:br w:type="page"/>
      </w:r>
    </w:p>
    <w:p w14:paraId="7DB77C94" w14:textId="74CC948A" w:rsidR="00612295" w:rsidRPr="00D57237" w:rsidRDefault="00612295" w:rsidP="00D57237">
      <w:pPr>
        <w:pStyle w:val="Heading3"/>
      </w:pPr>
      <w:r w:rsidRPr="00D57237">
        <w:lastRenderedPageBreak/>
        <w:t xml:space="preserve">Victoria </w:t>
      </w:r>
    </w:p>
    <w:p w14:paraId="03332A03" w14:textId="77777777" w:rsidR="00612295" w:rsidRDefault="00612295" w:rsidP="00D57237">
      <w:r>
        <w:t xml:space="preserve">As at 12 September 2021, there had been 4,646 </w:t>
      </w:r>
      <w:proofErr w:type="gramStart"/>
      <w:r>
        <w:t>locally-acquired</w:t>
      </w:r>
      <w:proofErr w:type="gramEnd"/>
      <w:r>
        <w:t xml:space="preserve"> cases been reported in Victoria since two unlinked cases were reported on 5 August 2021. Genomic testing determined these outbreaks were due to the Delta variant and were genomically closely associated with recent clusters in New South Wales and the previous two seeding events in Victoria from July 2021. </w:t>
      </w:r>
    </w:p>
    <w:p w14:paraId="5CDF6C76" w14:textId="77777777" w:rsidR="00612295" w:rsidRDefault="00612295" w:rsidP="00D57237">
      <w:r>
        <w:t xml:space="preserve">The size of the Victorian outbreak continued to increase during the reporting period. The number of </w:t>
      </w:r>
      <w:proofErr w:type="gramStart"/>
      <w:r>
        <w:t>locally-acquired</w:t>
      </w:r>
      <w:proofErr w:type="gramEnd"/>
      <w:r>
        <w:t xml:space="preserve"> and under-initial-investigation cases in Victoria this reporting period (3,738 cases) was more than four times that of the previous reporting period (870 cases). Most cases in the outbreak were in Greater Melbourne. However, since 20 August 2021, cases were reported in Shepparton in regional Victoria. As at 12 September 2021, there had been 132 cases reported in Shepparton. </w:t>
      </w:r>
    </w:p>
    <w:p w14:paraId="0250CDA1" w14:textId="77777777" w:rsidR="00612295" w:rsidRPr="00D57237" w:rsidRDefault="00612295" w:rsidP="00D57237">
      <w:pPr>
        <w:pStyle w:val="Heading3"/>
      </w:pPr>
      <w:r w:rsidRPr="00D57237">
        <w:t xml:space="preserve">Australian Capital Territory </w:t>
      </w:r>
    </w:p>
    <w:p w14:paraId="70ED4D09" w14:textId="77777777" w:rsidR="00612295" w:rsidRDefault="00612295" w:rsidP="00D57237">
      <w:r>
        <w:t xml:space="preserve">As at 12 September 2021, a total of 506 cases had been reported as part of this outbreak. The first case in this outbreak, which was the first </w:t>
      </w:r>
      <w:proofErr w:type="gramStart"/>
      <w:r>
        <w:t>locally-acquired</w:t>
      </w:r>
      <w:proofErr w:type="gramEnd"/>
      <w:r>
        <w:t xml:space="preserve"> case in the Australian Capital Territory in over a year, was reported on 12 August 2021 and was confirmed to have the Delta variant. The source of infection remained under investigation at the end of this reporting period, though it was genomically related to the Sydney Metropolitan Outbreak. The number of new cases in the Australian Capital Territory during this reporting period (251) was </w:t>
      </w:r>
      <w:proofErr w:type="gramStart"/>
      <w:r>
        <w:t>similar to</w:t>
      </w:r>
      <w:proofErr w:type="gramEnd"/>
      <w:r>
        <w:t xml:space="preserve"> the previous reporting period (238). </w:t>
      </w:r>
    </w:p>
    <w:p w14:paraId="5AB15146" w14:textId="77777777" w:rsidR="00612295" w:rsidRPr="00D57237" w:rsidRDefault="00612295" w:rsidP="00D57237">
      <w:pPr>
        <w:pStyle w:val="Heading3"/>
      </w:pPr>
      <w:r w:rsidRPr="00D57237">
        <w:t xml:space="preserve">Queensland </w:t>
      </w:r>
    </w:p>
    <w:p w14:paraId="5F87D6B3" w14:textId="77777777" w:rsidR="00612295" w:rsidRDefault="00612295" w:rsidP="00D57237">
      <w:r>
        <w:t xml:space="preserve">As at 12 September 2021, a total of 7 cases have been reported as part of an outbreak in Sunnybank, Brisbane, Queensland. The outbreak commenced on 5 September 2021, with the first cases reported among a small group of people who travelled from New South Wales to Queensland for essential work. As at 12 September 2021, the latest date that a case was infectious in the community was 10 September 2021. </w:t>
      </w:r>
    </w:p>
    <w:p w14:paraId="79447CEC" w14:textId="77777777" w:rsidR="00612295" w:rsidRPr="00A3417C" w:rsidRDefault="00612295" w:rsidP="00A3417C">
      <w:pPr>
        <w:pStyle w:val="Heading2"/>
      </w:pPr>
      <w:r w:rsidRPr="00A3417C">
        <w:t xml:space="preserve">Severity </w:t>
      </w:r>
    </w:p>
    <w:p w14:paraId="53795927" w14:textId="77777777" w:rsidR="00612295" w:rsidRPr="00D57237" w:rsidRDefault="00612295" w:rsidP="00D57237">
      <w:pPr>
        <w:pStyle w:val="Heading3"/>
        <w:rPr>
          <w:i/>
          <w:iCs/>
        </w:rPr>
      </w:pPr>
      <w:r w:rsidRPr="00D57237">
        <w:rPr>
          <w:i/>
          <w:iCs/>
        </w:rPr>
        <w:t xml:space="preserve">(NINDSS, </w:t>
      </w:r>
      <w:proofErr w:type="spellStart"/>
      <w:r w:rsidRPr="00D57237">
        <w:rPr>
          <w:i/>
          <w:iCs/>
        </w:rPr>
        <w:t>FluCAN</w:t>
      </w:r>
      <w:proofErr w:type="spellEnd"/>
      <w:r w:rsidRPr="00D57237">
        <w:rPr>
          <w:i/>
          <w:iCs/>
        </w:rPr>
        <w:t xml:space="preserve">, SPRINT-SARI) </w:t>
      </w:r>
    </w:p>
    <w:p w14:paraId="715E0AE7" w14:textId="77777777" w:rsidR="00612295" w:rsidRPr="00D57237" w:rsidRDefault="00612295" w:rsidP="00D57237">
      <w:pPr>
        <w:pStyle w:val="Heading4"/>
      </w:pPr>
      <w:r w:rsidRPr="00D57237">
        <w:t xml:space="preserve">Hospitalisation and intensive care unit admission </w:t>
      </w:r>
    </w:p>
    <w:p w14:paraId="3FD522AC" w14:textId="042E8D1C" w:rsidR="00612295" w:rsidRDefault="00612295" w:rsidP="00A3417C">
      <w:r>
        <w:t xml:space="preserve">Given the delay between illness onset and severe illness, to provide a more accurate assessment of the highest level of severity, cases with an onset in the last two weeks were excluded from the analysis. Nationally in 2021, based on the highest level of severity reported for cases with an illness onset up to 29 August 2021, 1% of cases were reported to have died, 2% of cases required intensive care and a further 14% required admission to hospital (Table 5). </w:t>
      </w:r>
      <w:proofErr w:type="gramStart"/>
      <w:r>
        <w:t>The majority of</w:t>
      </w:r>
      <w:proofErr w:type="gramEnd"/>
      <w:r>
        <w:t xml:space="preserve"> hospitalisations in 2021 were associated with the current outbreak in New South Wales. Note that hospitalisation data in NINDSS should be interpreted with caution: hospitalisation is not always reflective of severe illness, as cases may be hospitalised for reasons other than clinical COVID-19 related care; additionally, hospitalisation and intensive care unit (ICU) status in NINDSS is likely incomplete.</w:t>
      </w:r>
    </w:p>
    <w:p w14:paraId="3AEC7ED1" w14:textId="77777777" w:rsidR="004F2316" w:rsidRDefault="004F2316">
      <w:pPr>
        <w:rPr>
          <w:rStyle w:val="Strong"/>
          <w:bCs w:val="0"/>
        </w:rPr>
      </w:pPr>
      <w:r>
        <w:rPr>
          <w:rStyle w:val="Strong"/>
          <w:b w:val="0"/>
          <w:bCs w:val="0"/>
        </w:rPr>
        <w:br w:type="page"/>
      </w:r>
    </w:p>
    <w:p w14:paraId="4E6ABB44" w14:textId="60D08789" w:rsidR="004F2316" w:rsidRPr="00D51619" w:rsidRDefault="004F2316" w:rsidP="004F2316">
      <w:pPr>
        <w:pStyle w:val="CDIFigures"/>
      </w:pPr>
      <w:r w:rsidRPr="00D51619">
        <w:rPr>
          <w:rStyle w:val="Strong"/>
          <w:b/>
          <w:bCs w:val="0"/>
        </w:rPr>
        <w:lastRenderedPageBreak/>
        <w:t xml:space="preserve">Table 5: COVID-19 cases by age and highest level of severity, Australia, 1 January – 29 August 2021, by age </w:t>
      </w:r>
      <w:proofErr w:type="spellStart"/>
      <w:r w:rsidRPr="00D51619">
        <w:rPr>
          <w:rStyle w:val="Strong"/>
          <w:b/>
          <w:bCs w:val="0"/>
        </w:rPr>
        <w:t>group</w:t>
      </w:r>
      <w:r w:rsidRPr="00D51619">
        <w:rPr>
          <w:rStyle w:val="Strong"/>
          <w:b/>
          <w:bCs w:val="0"/>
          <w:vertAlign w:val="superscript"/>
        </w:rPr>
        <w:t>a</w:t>
      </w:r>
      <w:proofErr w:type="spellEnd"/>
    </w:p>
    <w:tbl>
      <w:tblPr>
        <w:tblStyle w:val="CDI-StandardTable"/>
        <w:tblW w:w="0" w:type="auto"/>
        <w:tblLook w:val="04A0" w:firstRow="1" w:lastRow="0" w:firstColumn="1" w:lastColumn="0" w:noHBand="0" w:noVBand="1"/>
        <w:tblDescription w:val="Table 5 summarises the total number of cases and the proportions of the highest level of illness severity (hospitalisation, intensive care unit (ICU) admission or death) for the calendar year to 29 August 2021, as a function of age group. While a majority of cases notified this year (12,622/22,047 cases) are under 30 years of age, rates of hospitalisation across this younger age range are comparatively low, with few ICU admissions and very few deaths seen in cases under 30 years of age this year. The percentages of cases hospitalised or died are highest among those over 80 years of age, while the highest proportion of cases admitted to ICU (but not died) is seen among those in the 60–69 and 70–79 year age brackets."/>
      </w:tblPr>
      <w:tblGrid>
        <w:gridCol w:w="1108"/>
        <w:gridCol w:w="1175"/>
        <w:gridCol w:w="1661"/>
        <w:gridCol w:w="1234"/>
        <w:gridCol w:w="662"/>
        <w:gridCol w:w="1069"/>
        <w:gridCol w:w="1661"/>
        <w:gridCol w:w="1234"/>
        <w:gridCol w:w="662"/>
      </w:tblGrid>
      <w:tr w:rsidR="004F2316" w:rsidRPr="00D61478" w14:paraId="564A01A8"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6F9EFEEF" w14:textId="77777777" w:rsidR="004F2316" w:rsidRPr="00D61478" w:rsidRDefault="004F2316" w:rsidP="00D46D62">
            <w:pPr>
              <w:pStyle w:val="NormalWeb"/>
              <w:rPr>
                <w:color w:val="FFFFFF" w:themeColor="background1"/>
              </w:rPr>
            </w:pPr>
            <w:r w:rsidRPr="00D61478">
              <w:rPr>
                <w:color w:val="FFFFFF" w:themeColor="background1"/>
              </w:rPr>
              <w:t>Age group</w:t>
            </w:r>
          </w:p>
        </w:tc>
        <w:tc>
          <w:tcPr>
            <w:tcW w:w="0" w:type="auto"/>
            <w:gridSpan w:val="5"/>
            <w:tcBorders>
              <w:left w:val="single" w:sz="2" w:space="0" w:color="FFFFFF" w:themeColor="background1"/>
              <w:bottom w:val="single" w:sz="2" w:space="0" w:color="FFFFFF" w:themeColor="background1"/>
              <w:right w:val="single" w:sz="2" w:space="0" w:color="FFFFFF" w:themeColor="background1"/>
            </w:tcBorders>
            <w:hideMark/>
          </w:tcPr>
          <w:p w14:paraId="41A711DB" w14:textId="77777777" w:rsidR="004F2316" w:rsidRPr="00D61478" w:rsidRDefault="004F2316" w:rsidP="00D46D62">
            <w:pPr>
              <w:pStyle w:val="NormalWeb"/>
              <w:jc w:val="center"/>
              <w:rPr>
                <w:color w:val="FFFFFF" w:themeColor="background1"/>
              </w:rPr>
            </w:pPr>
            <w:r w:rsidRPr="00D61478">
              <w:rPr>
                <w:color w:val="FFFFFF" w:themeColor="background1"/>
              </w:rPr>
              <w:t>Count</w:t>
            </w:r>
          </w:p>
        </w:tc>
        <w:tc>
          <w:tcPr>
            <w:tcW w:w="0" w:type="auto"/>
            <w:gridSpan w:val="3"/>
            <w:tcBorders>
              <w:left w:val="single" w:sz="2" w:space="0" w:color="FFFFFF" w:themeColor="background1"/>
              <w:bottom w:val="single" w:sz="2" w:space="0" w:color="FFFFFF" w:themeColor="background1"/>
            </w:tcBorders>
            <w:hideMark/>
          </w:tcPr>
          <w:p w14:paraId="4164E24A" w14:textId="77777777" w:rsidR="004F2316" w:rsidRPr="00D61478" w:rsidRDefault="004F2316" w:rsidP="00D46D62">
            <w:pPr>
              <w:pStyle w:val="NormalWeb"/>
              <w:jc w:val="center"/>
              <w:rPr>
                <w:color w:val="FFFFFF" w:themeColor="background1"/>
              </w:rPr>
            </w:pPr>
            <w:r w:rsidRPr="00D61478">
              <w:rPr>
                <w:color w:val="FFFFFF" w:themeColor="background1"/>
              </w:rPr>
              <w:t>% of total cases by age group</w:t>
            </w:r>
          </w:p>
        </w:tc>
      </w:tr>
      <w:tr w:rsidR="004F2316" w:rsidRPr="00D61478" w14:paraId="1EC239FA"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702E5C86" w14:textId="77777777" w:rsidR="004F2316" w:rsidRPr="00D61478" w:rsidRDefault="004F2316" w:rsidP="00D46D62">
            <w:pPr>
              <w:rPr>
                <w:color w:val="FFFFFF" w:themeColor="background1"/>
                <w:sz w:val="24"/>
                <w:szCs w:val="24"/>
              </w:rPr>
            </w:pP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3DA0805C" w14:textId="77777777" w:rsidR="004F2316" w:rsidRPr="00D61478" w:rsidRDefault="004F2316" w:rsidP="00D46D62">
            <w:pPr>
              <w:pStyle w:val="NormalWeb"/>
              <w:jc w:val="center"/>
              <w:rPr>
                <w:color w:val="FFFFFF" w:themeColor="background1"/>
              </w:rPr>
            </w:pPr>
            <w:r w:rsidRPr="00D61478">
              <w:rPr>
                <w:color w:val="FFFFFF" w:themeColor="background1"/>
              </w:rPr>
              <w:t xml:space="preserve">Not </w:t>
            </w:r>
            <w:proofErr w:type="spellStart"/>
            <w:r w:rsidRPr="00D61478">
              <w:rPr>
                <w:color w:val="FFFFFF" w:themeColor="background1"/>
              </w:rPr>
              <w:t>severe</w:t>
            </w:r>
            <w:r w:rsidRPr="00D61478">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516910AE" w14:textId="77777777" w:rsidR="004F2316" w:rsidRPr="00D61478" w:rsidRDefault="004F2316" w:rsidP="00D46D62">
            <w:pPr>
              <w:pStyle w:val="NormalWeb"/>
              <w:jc w:val="center"/>
              <w:rPr>
                <w:color w:val="FFFFFF" w:themeColor="background1"/>
              </w:rPr>
            </w:pPr>
            <w:r w:rsidRPr="00D61478">
              <w:rPr>
                <w:color w:val="FFFFFF" w:themeColor="background1"/>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6B1B316" w14:textId="77777777" w:rsidR="004F2316" w:rsidRPr="00D61478" w:rsidRDefault="004F2316" w:rsidP="00D46D62">
            <w:pPr>
              <w:pStyle w:val="NormalWeb"/>
              <w:jc w:val="center"/>
              <w:rPr>
                <w:color w:val="FFFFFF" w:themeColor="background1"/>
              </w:rPr>
            </w:pPr>
            <w:r w:rsidRPr="00D61478">
              <w:rPr>
                <w:color w:val="FFFFFF" w:themeColor="background1"/>
              </w:rPr>
              <w:t>ICU</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A301E99" w14:textId="77777777" w:rsidR="004F2316" w:rsidRPr="00D61478" w:rsidRDefault="004F2316" w:rsidP="00D46D62">
            <w:pPr>
              <w:pStyle w:val="NormalWeb"/>
              <w:jc w:val="center"/>
              <w:rPr>
                <w:color w:val="FFFFFF" w:themeColor="background1"/>
              </w:rPr>
            </w:pPr>
            <w:r w:rsidRPr="00D61478">
              <w:rPr>
                <w:color w:val="FFFFFF" w:themeColor="background1"/>
              </w:rPr>
              <w:t>Died</w:t>
            </w:r>
          </w:p>
        </w:tc>
        <w:tc>
          <w:tcPr>
            <w:tcW w:w="0" w:type="auto"/>
            <w:vMerge w:val="restart"/>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131291A0" w14:textId="77777777" w:rsidR="004F2316" w:rsidRPr="00D61478" w:rsidRDefault="004F2316" w:rsidP="00D46D62">
            <w:pPr>
              <w:pStyle w:val="NormalWeb"/>
              <w:jc w:val="center"/>
              <w:rPr>
                <w:color w:val="FFFFFF" w:themeColor="background1"/>
              </w:rPr>
            </w:pPr>
            <w:r w:rsidRPr="00D61478">
              <w:rPr>
                <w:color w:val="FFFFFF" w:themeColor="background1"/>
              </w:rPr>
              <w:t>Total cases</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A6969E3" w14:textId="77777777" w:rsidR="004F2316" w:rsidRPr="00D61478" w:rsidRDefault="004F2316" w:rsidP="00D46D62">
            <w:pPr>
              <w:pStyle w:val="NormalWeb"/>
              <w:jc w:val="center"/>
              <w:rPr>
                <w:color w:val="FFFFFF" w:themeColor="background1"/>
              </w:rPr>
            </w:pPr>
            <w:r w:rsidRPr="00D61478">
              <w:rPr>
                <w:color w:val="FFFFFF" w:themeColor="background1"/>
              </w:rPr>
              <w:t>Hospitalised only</w:t>
            </w:r>
          </w:p>
        </w:tc>
        <w:tc>
          <w:tcPr>
            <w:tcW w:w="0" w:type="auto"/>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490FFD3C" w14:textId="77777777" w:rsidR="004F2316" w:rsidRPr="00D61478" w:rsidRDefault="004F2316" w:rsidP="00D46D62">
            <w:pPr>
              <w:pStyle w:val="NormalWeb"/>
              <w:jc w:val="center"/>
              <w:rPr>
                <w:color w:val="FFFFFF" w:themeColor="background1"/>
              </w:rPr>
            </w:pPr>
            <w:r w:rsidRPr="00D61478">
              <w:rPr>
                <w:color w:val="FFFFFF" w:themeColor="background1"/>
              </w:rPr>
              <w:t>ICU</w:t>
            </w:r>
          </w:p>
        </w:tc>
        <w:tc>
          <w:tcPr>
            <w:tcW w:w="0" w:type="auto"/>
            <w:vMerge w:val="restart"/>
            <w:tcBorders>
              <w:top w:val="single" w:sz="2" w:space="0" w:color="FFFFFF" w:themeColor="background1"/>
              <w:left w:val="single" w:sz="2" w:space="0" w:color="FFFFFF" w:themeColor="background1"/>
              <w:bottom w:val="single" w:sz="2" w:space="0" w:color="FFFFFF" w:themeColor="background1"/>
            </w:tcBorders>
            <w:hideMark/>
          </w:tcPr>
          <w:p w14:paraId="0572C37D" w14:textId="77777777" w:rsidR="004F2316" w:rsidRPr="00D61478" w:rsidRDefault="004F2316" w:rsidP="00D46D62">
            <w:pPr>
              <w:pStyle w:val="NormalWeb"/>
              <w:jc w:val="center"/>
              <w:rPr>
                <w:color w:val="FFFFFF" w:themeColor="background1"/>
              </w:rPr>
            </w:pPr>
            <w:r w:rsidRPr="00D61478">
              <w:rPr>
                <w:color w:val="FFFFFF" w:themeColor="background1"/>
              </w:rPr>
              <w:t>Died</w:t>
            </w:r>
          </w:p>
        </w:tc>
      </w:tr>
      <w:tr w:rsidR="004F2316" w:rsidRPr="00D61478" w14:paraId="48A0E61F"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1C36DBB4" w14:textId="77777777" w:rsidR="004F2316" w:rsidRPr="00D61478" w:rsidRDefault="004F2316" w:rsidP="00D46D62">
            <w:pP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7F973E7C" w14:textId="77777777" w:rsidR="004F2316" w:rsidRPr="00D61478" w:rsidRDefault="004F2316" w:rsidP="00D46D62">
            <w:pPr>
              <w:jc w:val="cente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684520CB" w14:textId="77777777" w:rsidR="004F2316" w:rsidRPr="00D61478" w:rsidRDefault="004F2316" w:rsidP="00D46D62">
            <w:pPr>
              <w:pStyle w:val="NormalWeb"/>
              <w:jc w:val="center"/>
              <w:rPr>
                <w:color w:val="FFFFFF" w:themeColor="background1"/>
              </w:rPr>
            </w:pPr>
            <w:r w:rsidRPr="00D61478">
              <w:rPr>
                <w:color w:val="FFFFFF" w:themeColor="background1"/>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F07EE6D" w14:textId="77777777" w:rsidR="004F2316" w:rsidRPr="00D61478" w:rsidRDefault="004F2316" w:rsidP="00D46D62">
            <w:pPr>
              <w:pStyle w:val="NormalWeb"/>
              <w:jc w:val="center"/>
              <w:rPr>
                <w:color w:val="FFFFFF" w:themeColor="background1"/>
              </w:rPr>
            </w:pPr>
            <w:r w:rsidRPr="00D61478">
              <w:rPr>
                <w:color w:val="FFFFFF" w:themeColor="background1"/>
              </w:rPr>
              <w:t>(but not died)</w:t>
            </w: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2E52ADE8" w14:textId="77777777" w:rsidR="004F2316" w:rsidRPr="00D61478" w:rsidRDefault="004F2316" w:rsidP="00D46D62">
            <w:pPr>
              <w:jc w:val="center"/>
              <w:rPr>
                <w:color w:val="FFFFFF" w:themeColor="background1"/>
                <w:sz w:val="24"/>
                <w:szCs w:val="24"/>
              </w:rPr>
            </w:pPr>
          </w:p>
        </w:tc>
        <w:tc>
          <w:tcPr>
            <w:tcW w:w="0" w:type="auto"/>
            <w:vMerge/>
            <w:tcBorders>
              <w:top w:val="single" w:sz="2" w:space="0" w:color="FFFFFF" w:themeColor="background1"/>
              <w:left w:val="single" w:sz="2" w:space="0" w:color="FFFFFF" w:themeColor="background1"/>
              <w:right w:val="single" w:sz="2" w:space="0" w:color="FFFFFF" w:themeColor="background1"/>
            </w:tcBorders>
            <w:hideMark/>
          </w:tcPr>
          <w:p w14:paraId="34E65CBF" w14:textId="77777777" w:rsidR="004F2316" w:rsidRPr="00D61478" w:rsidRDefault="004F2316" w:rsidP="00D46D62">
            <w:pPr>
              <w:jc w:val="cente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480DF76" w14:textId="77777777" w:rsidR="004F2316" w:rsidRPr="00D61478" w:rsidRDefault="004F2316" w:rsidP="00D46D62">
            <w:pPr>
              <w:pStyle w:val="NormalWeb"/>
              <w:jc w:val="center"/>
              <w:rPr>
                <w:color w:val="FFFFFF" w:themeColor="background1"/>
              </w:rPr>
            </w:pPr>
            <w:r w:rsidRPr="00D61478">
              <w:rPr>
                <w:color w:val="FFFFFF" w:themeColor="background1"/>
              </w:rPr>
              <w:t>(not ICU or died)</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5F095DB3" w14:textId="77777777" w:rsidR="004F2316" w:rsidRPr="00D61478" w:rsidRDefault="004F2316" w:rsidP="00D46D62">
            <w:pPr>
              <w:pStyle w:val="NormalWeb"/>
              <w:jc w:val="center"/>
              <w:rPr>
                <w:color w:val="FFFFFF" w:themeColor="background1"/>
              </w:rPr>
            </w:pPr>
            <w:r w:rsidRPr="00D61478">
              <w:rPr>
                <w:color w:val="FFFFFF" w:themeColor="background1"/>
              </w:rPr>
              <w:t>(but not died)</w:t>
            </w:r>
          </w:p>
        </w:tc>
        <w:tc>
          <w:tcPr>
            <w:tcW w:w="0" w:type="auto"/>
            <w:vMerge/>
            <w:tcBorders>
              <w:top w:val="single" w:sz="2" w:space="0" w:color="FFFFFF" w:themeColor="background1"/>
              <w:left w:val="single" w:sz="2" w:space="0" w:color="FFFFFF" w:themeColor="background1"/>
            </w:tcBorders>
            <w:hideMark/>
          </w:tcPr>
          <w:p w14:paraId="055C7FD6" w14:textId="77777777" w:rsidR="004F2316" w:rsidRPr="00D61478" w:rsidRDefault="004F2316" w:rsidP="00D46D62">
            <w:pPr>
              <w:jc w:val="center"/>
              <w:rPr>
                <w:color w:val="FFFFFF" w:themeColor="background1"/>
                <w:sz w:val="24"/>
                <w:szCs w:val="24"/>
              </w:rPr>
            </w:pPr>
          </w:p>
        </w:tc>
      </w:tr>
      <w:tr w:rsidR="004F2316" w14:paraId="02B1F5A3" w14:textId="77777777" w:rsidTr="00D46D62">
        <w:tblPrEx>
          <w:tblCellMar>
            <w:top w:w="57" w:type="dxa"/>
            <w:left w:w="57" w:type="dxa"/>
            <w:bottom w:w="57" w:type="dxa"/>
            <w:right w:w="57" w:type="dxa"/>
          </w:tblCellMar>
        </w:tblPrEx>
        <w:tc>
          <w:tcPr>
            <w:tcW w:w="0" w:type="auto"/>
            <w:hideMark/>
          </w:tcPr>
          <w:p w14:paraId="5FA901A3" w14:textId="77777777" w:rsidR="004F2316" w:rsidRDefault="004F2316" w:rsidP="00D46D62">
            <w:pPr>
              <w:pStyle w:val="NormalWeb"/>
            </w:pPr>
            <w:r>
              <w:t>0–4</w:t>
            </w:r>
          </w:p>
        </w:tc>
        <w:tc>
          <w:tcPr>
            <w:tcW w:w="0" w:type="auto"/>
            <w:hideMark/>
          </w:tcPr>
          <w:p w14:paraId="71B0A3E7" w14:textId="77777777" w:rsidR="004F2316" w:rsidRDefault="004F2316" w:rsidP="00D46D62">
            <w:pPr>
              <w:pStyle w:val="NormalWeb"/>
              <w:jc w:val="center"/>
            </w:pPr>
            <w:r>
              <w:t>1,656</w:t>
            </w:r>
          </w:p>
        </w:tc>
        <w:tc>
          <w:tcPr>
            <w:tcW w:w="0" w:type="auto"/>
            <w:hideMark/>
          </w:tcPr>
          <w:p w14:paraId="208CBF05" w14:textId="77777777" w:rsidR="004F2316" w:rsidRDefault="004F2316" w:rsidP="00D46D62">
            <w:pPr>
              <w:pStyle w:val="NormalWeb"/>
              <w:jc w:val="center"/>
            </w:pPr>
            <w:r>
              <w:t>126</w:t>
            </w:r>
          </w:p>
        </w:tc>
        <w:tc>
          <w:tcPr>
            <w:tcW w:w="0" w:type="auto"/>
            <w:hideMark/>
          </w:tcPr>
          <w:p w14:paraId="5288DE15" w14:textId="77777777" w:rsidR="004F2316" w:rsidRDefault="004F2316" w:rsidP="00D46D62">
            <w:pPr>
              <w:pStyle w:val="NormalWeb"/>
              <w:jc w:val="center"/>
            </w:pPr>
            <w:r>
              <w:t>2</w:t>
            </w:r>
          </w:p>
        </w:tc>
        <w:tc>
          <w:tcPr>
            <w:tcW w:w="0" w:type="auto"/>
            <w:hideMark/>
          </w:tcPr>
          <w:p w14:paraId="67BCBF77" w14:textId="77777777" w:rsidR="004F2316" w:rsidRDefault="004F2316" w:rsidP="00D46D62">
            <w:pPr>
              <w:pStyle w:val="NormalWeb"/>
              <w:jc w:val="center"/>
            </w:pPr>
            <w:r>
              <w:t>0</w:t>
            </w:r>
          </w:p>
        </w:tc>
        <w:tc>
          <w:tcPr>
            <w:tcW w:w="0" w:type="auto"/>
            <w:hideMark/>
          </w:tcPr>
          <w:p w14:paraId="4F0A3164" w14:textId="77777777" w:rsidR="004F2316" w:rsidRDefault="004F2316" w:rsidP="00D46D62">
            <w:pPr>
              <w:pStyle w:val="NormalWeb"/>
              <w:jc w:val="center"/>
            </w:pPr>
            <w:r>
              <w:t>1,784</w:t>
            </w:r>
          </w:p>
        </w:tc>
        <w:tc>
          <w:tcPr>
            <w:tcW w:w="0" w:type="auto"/>
            <w:hideMark/>
          </w:tcPr>
          <w:p w14:paraId="55159827" w14:textId="77777777" w:rsidR="004F2316" w:rsidRDefault="004F2316" w:rsidP="00D46D62">
            <w:pPr>
              <w:pStyle w:val="NormalWeb"/>
              <w:jc w:val="center"/>
            </w:pPr>
            <w:r>
              <w:t>7%</w:t>
            </w:r>
          </w:p>
        </w:tc>
        <w:tc>
          <w:tcPr>
            <w:tcW w:w="0" w:type="auto"/>
            <w:hideMark/>
          </w:tcPr>
          <w:p w14:paraId="387AED4E" w14:textId="77777777" w:rsidR="004F2316" w:rsidRDefault="004F2316" w:rsidP="00D46D62">
            <w:pPr>
              <w:pStyle w:val="NormalWeb"/>
              <w:jc w:val="center"/>
            </w:pPr>
            <w:r>
              <w:t>&lt; 1%</w:t>
            </w:r>
          </w:p>
        </w:tc>
        <w:tc>
          <w:tcPr>
            <w:tcW w:w="0" w:type="auto"/>
            <w:hideMark/>
          </w:tcPr>
          <w:p w14:paraId="5EEE9AB5" w14:textId="77777777" w:rsidR="004F2316" w:rsidRDefault="004F2316" w:rsidP="00D46D62">
            <w:pPr>
              <w:pStyle w:val="NormalWeb"/>
              <w:jc w:val="center"/>
            </w:pPr>
            <w:r>
              <w:t>0%</w:t>
            </w:r>
          </w:p>
        </w:tc>
      </w:tr>
      <w:tr w:rsidR="004F2316" w14:paraId="377A3CB4"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0292691" w14:textId="77777777" w:rsidR="004F2316" w:rsidRDefault="004F2316" w:rsidP="00D46D62">
            <w:pPr>
              <w:pStyle w:val="NormalWeb"/>
            </w:pPr>
            <w:r>
              <w:t>5–11</w:t>
            </w:r>
          </w:p>
        </w:tc>
        <w:tc>
          <w:tcPr>
            <w:tcW w:w="0" w:type="auto"/>
            <w:hideMark/>
          </w:tcPr>
          <w:p w14:paraId="45B92C92" w14:textId="77777777" w:rsidR="004F2316" w:rsidRDefault="004F2316" w:rsidP="00D46D62">
            <w:pPr>
              <w:pStyle w:val="NormalWeb"/>
              <w:jc w:val="center"/>
            </w:pPr>
            <w:r>
              <w:t>2,379</w:t>
            </w:r>
          </w:p>
        </w:tc>
        <w:tc>
          <w:tcPr>
            <w:tcW w:w="0" w:type="auto"/>
            <w:hideMark/>
          </w:tcPr>
          <w:p w14:paraId="6BEFA7BC" w14:textId="77777777" w:rsidR="004F2316" w:rsidRDefault="004F2316" w:rsidP="00D46D62">
            <w:pPr>
              <w:pStyle w:val="NormalWeb"/>
              <w:jc w:val="center"/>
            </w:pPr>
            <w:r>
              <w:t>120</w:t>
            </w:r>
          </w:p>
        </w:tc>
        <w:tc>
          <w:tcPr>
            <w:tcW w:w="0" w:type="auto"/>
            <w:hideMark/>
          </w:tcPr>
          <w:p w14:paraId="6402CAE9" w14:textId="77777777" w:rsidR="004F2316" w:rsidRDefault="004F2316" w:rsidP="00D46D62">
            <w:pPr>
              <w:pStyle w:val="NormalWeb"/>
              <w:jc w:val="center"/>
            </w:pPr>
            <w:r>
              <w:t>2</w:t>
            </w:r>
          </w:p>
        </w:tc>
        <w:tc>
          <w:tcPr>
            <w:tcW w:w="0" w:type="auto"/>
            <w:hideMark/>
          </w:tcPr>
          <w:p w14:paraId="5A2F30F9" w14:textId="77777777" w:rsidR="004F2316" w:rsidRDefault="004F2316" w:rsidP="00D46D62">
            <w:pPr>
              <w:pStyle w:val="NormalWeb"/>
              <w:jc w:val="center"/>
            </w:pPr>
            <w:r>
              <w:t>0</w:t>
            </w:r>
          </w:p>
        </w:tc>
        <w:tc>
          <w:tcPr>
            <w:tcW w:w="0" w:type="auto"/>
            <w:hideMark/>
          </w:tcPr>
          <w:p w14:paraId="5F76A29D" w14:textId="77777777" w:rsidR="004F2316" w:rsidRDefault="004F2316" w:rsidP="00D46D62">
            <w:pPr>
              <w:pStyle w:val="NormalWeb"/>
              <w:jc w:val="center"/>
            </w:pPr>
            <w:r>
              <w:t>2,501</w:t>
            </w:r>
          </w:p>
        </w:tc>
        <w:tc>
          <w:tcPr>
            <w:tcW w:w="0" w:type="auto"/>
            <w:hideMark/>
          </w:tcPr>
          <w:p w14:paraId="654938ED" w14:textId="77777777" w:rsidR="004F2316" w:rsidRDefault="004F2316" w:rsidP="00D46D62">
            <w:pPr>
              <w:pStyle w:val="NormalWeb"/>
              <w:jc w:val="center"/>
            </w:pPr>
            <w:r>
              <w:t>5%</w:t>
            </w:r>
          </w:p>
        </w:tc>
        <w:tc>
          <w:tcPr>
            <w:tcW w:w="0" w:type="auto"/>
            <w:hideMark/>
          </w:tcPr>
          <w:p w14:paraId="4519B869" w14:textId="77777777" w:rsidR="004F2316" w:rsidRDefault="004F2316" w:rsidP="00D46D62">
            <w:pPr>
              <w:pStyle w:val="NormalWeb"/>
              <w:jc w:val="center"/>
            </w:pPr>
            <w:r>
              <w:t>&lt; 1%</w:t>
            </w:r>
          </w:p>
        </w:tc>
        <w:tc>
          <w:tcPr>
            <w:tcW w:w="0" w:type="auto"/>
            <w:hideMark/>
          </w:tcPr>
          <w:p w14:paraId="06C46598" w14:textId="77777777" w:rsidR="004F2316" w:rsidRDefault="004F2316" w:rsidP="00D46D62">
            <w:pPr>
              <w:pStyle w:val="NormalWeb"/>
              <w:jc w:val="center"/>
            </w:pPr>
            <w:r>
              <w:t>0%</w:t>
            </w:r>
          </w:p>
        </w:tc>
      </w:tr>
      <w:tr w:rsidR="004F2316" w14:paraId="6C545BE9" w14:textId="77777777" w:rsidTr="00D46D62">
        <w:tblPrEx>
          <w:tblCellMar>
            <w:top w:w="57" w:type="dxa"/>
            <w:left w:w="57" w:type="dxa"/>
            <w:bottom w:w="57" w:type="dxa"/>
            <w:right w:w="57" w:type="dxa"/>
          </w:tblCellMar>
        </w:tblPrEx>
        <w:tc>
          <w:tcPr>
            <w:tcW w:w="0" w:type="auto"/>
            <w:hideMark/>
          </w:tcPr>
          <w:p w14:paraId="67779FFA" w14:textId="77777777" w:rsidR="004F2316" w:rsidRDefault="004F2316" w:rsidP="00D46D62">
            <w:pPr>
              <w:pStyle w:val="NormalWeb"/>
            </w:pPr>
            <w:r>
              <w:t>12–15</w:t>
            </w:r>
          </w:p>
        </w:tc>
        <w:tc>
          <w:tcPr>
            <w:tcW w:w="0" w:type="auto"/>
            <w:hideMark/>
          </w:tcPr>
          <w:p w14:paraId="73412ACF" w14:textId="77777777" w:rsidR="004F2316" w:rsidRDefault="004F2316" w:rsidP="00D46D62">
            <w:pPr>
              <w:pStyle w:val="NormalWeb"/>
              <w:jc w:val="center"/>
            </w:pPr>
            <w:r>
              <w:t>1,469</w:t>
            </w:r>
          </w:p>
        </w:tc>
        <w:tc>
          <w:tcPr>
            <w:tcW w:w="0" w:type="auto"/>
            <w:hideMark/>
          </w:tcPr>
          <w:p w14:paraId="2614441B" w14:textId="77777777" w:rsidR="004F2316" w:rsidRDefault="004F2316" w:rsidP="00D46D62">
            <w:pPr>
              <w:pStyle w:val="NormalWeb"/>
              <w:jc w:val="center"/>
            </w:pPr>
            <w:r>
              <w:t>99</w:t>
            </w:r>
          </w:p>
        </w:tc>
        <w:tc>
          <w:tcPr>
            <w:tcW w:w="0" w:type="auto"/>
            <w:hideMark/>
          </w:tcPr>
          <w:p w14:paraId="728591DA" w14:textId="77777777" w:rsidR="004F2316" w:rsidRDefault="004F2316" w:rsidP="00D46D62">
            <w:pPr>
              <w:pStyle w:val="NormalWeb"/>
              <w:jc w:val="center"/>
            </w:pPr>
            <w:r>
              <w:t>2</w:t>
            </w:r>
          </w:p>
        </w:tc>
        <w:tc>
          <w:tcPr>
            <w:tcW w:w="0" w:type="auto"/>
            <w:hideMark/>
          </w:tcPr>
          <w:p w14:paraId="0939546E" w14:textId="77777777" w:rsidR="004F2316" w:rsidRDefault="004F2316" w:rsidP="00D46D62">
            <w:pPr>
              <w:pStyle w:val="NormalWeb"/>
              <w:jc w:val="center"/>
            </w:pPr>
            <w:r>
              <w:t>1</w:t>
            </w:r>
          </w:p>
        </w:tc>
        <w:tc>
          <w:tcPr>
            <w:tcW w:w="0" w:type="auto"/>
            <w:hideMark/>
          </w:tcPr>
          <w:p w14:paraId="7768B9BA" w14:textId="77777777" w:rsidR="004F2316" w:rsidRDefault="004F2316" w:rsidP="00D46D62">
            <w:pPr>
              <w:pStyle w:val="NormalWeb"/>
              <w:jc w:val="center"/>
            </w:pPr>
            <w:r>
              <w:t>1,571</w:t>
            </w:r>
          </w:p>
        </w:tc>
        <w:tc>
          <w:tcPr>
            <w:tcW w:w="0" w:type="auto"/>
            <w:hideMark/>
          </w:tcPr>
          <w:p w14:paraId="07AA1680" w14:textId="77777777" w:rsidR="004F2316" w:rsidRDefault="004F2316" w:rsidP="00D46D62">
            <w:pPr>
              <w:pStyle w:val="NormalWeb"/>
              <w:jc w:val="center"/>
            </w:pPr>
            <w:r>
              <w:t>6%</w:t>
            </w:r>
          </w:p>
        </w:tc>
        <w:tc>
          <w:tcPr>
            <w:tcW w:w="0" w:type="auto"/>
            <w:hideMark/>
          </w:tcPr>
          <w:p w14:paraId="232DDEC7" w14:textId="77777777" w:rsidR="004F2316" w:rsidRDefault="004F2316" w:rsidP="00D46D62">
            <w:pPr>
              <w:pStyle w:val="NormalWeb"/>
              <w:jc w:val="center"/>
            </w:pPr>
            <w:r>
              <w:t>&lt; 1%</w:t>
            </w:r>
          </w:p>
        </w:tc>
        <w:tc>
          <w:tcPr>
            <w:tcW w:w="0" w:type="auto"/>
            <w:hideMark/>
          </w:tcPr>
          <w:p w14:paraId="31C84D90" w14:textId="77777777" w:rsidR="004F2316" w:rsidRDefault="004F2316" w:rsidP="00D46D62">
            <w:pPr>
              <w:pStyle w:val="NormalWeb"/>
              <w:jc w:val="center"/>
            </w:pPr>
            <w:r>
              <w:t>&lt; 1%</w:t>
            </w:r>
          </w:p>
        </w:tc>
      </w:tr>
      <w:tr w:rsidR="004F2316" w14:paraId="5C4D24D5"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B56E83C" w14:textId="77777777" w:rsidR="004F2316" w:rsidRDefault="004F2316" w:rsidP="00D46D62">
            <w:pPr>
              <w:pStyle w:val="NormalWeb"/>
            </w:pPr>
            <w:r>
              <w:t>16–17</w:t>
            </w:r>
          </w:p>
        </w:tc>
        <w:tc>
          <w:tcPr>
            <w:tcW w:w="0" w:type="auto"/>
            <w:hideMark/>
          </w:tcPr>
          <w:p w14:paraId="501849E5" w14:textId="77777777" w:rsidR="004F2316" w:rsidRDefault="004F2316" w:rsidP="00D46D62">
            <w:pPr>
              <w:pStyle w:val="NormalWeb"/>
              <w:jc w:val="center"/>
            </w:pPr>
            <w:r>
              <w:t>851</w:t>
            </w:r>
          </w:p>
        </w:tc>
        <w:tc>
          <w:tcPr>
            <w:tcW w:w="0" w:type="auto"/>
            <w:hideMark/>
          </w:tcPr>
          <w:p w14:paraId="4ED7B905" w14:textId="77777777" w:rsidR="004F2316" w:rsidRDefault="004F2316" w:rsidP="00D46D62">
            <w:pPr>
              <w:pStyle w:val="NormalWeb"/>
              <w:jc w:val="center"/>
            </w:pPr>
            <w:r>
              <w:t>51</w:t>
            </w:r>
          </w:p>
        </w:tc>
        <w:tc>
          <w:tcPr>
            <w:tcW w:w="0" w:type="auto"/>
            <w:hideMark/>
          </w:tcPr>
          <w:p w14:paraId="44E1E50F" w14:textId="77777777" w:rsidR="004F2316" w:rsidRDefault="004F2316" w:rsidP="00D46D62">
            <w:pPr>
              <w:pStyle w:val="NormalWeb"/>
              <w:jc w:val="center"/>
            </w:pPr>
            <w:r>
              <w:t>5</w:t>
            </w:r>
          </w:p>
        </w:tc>
        <w:tc>
          <w:tcPr>
            <w:tcW w:w="0" w:type="auto"/>
            <w:hideMark/>
          </w:tcPr>
          <w:p w14:paraId="291D4E09" w14:textId="77777777" w:rsidR="004F2316" w:rsidRDefault="004F2316" w:rsidP="00D46D62">
            <w:pPr>
              <w:pStyle w:val="NormalWeb"/>
              <w:jc w:val="center"/>
            </w:pPr>
            <w:r>
              <w:t>0</w:t>
            </w:r>
          </w:p>
        </w:tc>
        <w:tc>
          <w:tcPr>
            <w:tcW w:w="0" w:type="auto"/>
            <w:hideMark/>
          </w:tcPr>
          <w:p w14:paraId="64478416" w14:textId="77777777" w:rsidR="004F2316" w:rsidRDefault="004F2316" w:rsidP="00D46D62">
            <w:pPr>
              <w:pStyle w:val="NormalWeb"/>
              <w:jc w:val="center"/>
            </w:pPr>
            <w:r>
              <w:t>907</w:t>
            </w:r>
          </w:p>
        </w:tc>
        <w:tc>
          <w:tcPr>
            <w:tcW w:w="0" w:type="auto"/>
            <w:hideMark/>
          </w:tcPr>
          <w:p w14:paraId="26A33183" w14:textId="77777777" w:rsidR="004F2316" w:rsidRDefault="004F2316" w:rsidP="00D46D62">
            <w:pPr>
              <w:pStyle w:val="NormalWeb"/>
              <w:jc w:val="center"/>
            </w:pPr>
            <w:r>
              <w:t>6%</w:t>
            </w:r>
          </w:p>
        </w:tc>
        <w:tc>
          <w:tcPr>
            <w:tcW w:w="0" w:type="auto"/>
            <w:hideMark/>
          </w:tcPr>
          <w:p w14:paraId="5DAF292F" w14:textId="77777777" w:rsidR="004F2316" w:rsidRDefault="004F2316" w:rsidP="00D46D62">
            <w:pPr>
              <w:pStyle w:val="NormalWeb"/>
              <w:jc w:val="center"/>
            </w:pPr>
            <w:r>
              <w:t>1%</w:t>
            </w:r>
          </w:p>
        </w:tc>
        <w:tc>
          <w:tcPr>
            <w:tcW w:w="0" w:type="auto"/>
            <w:hideMark/>
          </w:tcPr>
          <w:p w14:paraId="23CBCB90" w14:textId="77777777" w:rsidR="004F2316" w:rsidRDefault="004F2316" w:rsidP="00D46D62">
            <w:pPr>
              <w:pStyle w:val="NormalWeb"/>
              <w:jc w:val="center"/>
            </w:pPr>
            <w:r>
              <w:t>0%</w:t>
            </w:r>
          </w:p>
        </w:tc>
      </w:tr>
      <w:tr w:rsidR="004F2316" w14:paraId="02ACD13E" w14:textId="77777777" w:rsidTr="00D46D62">
        <w:tblPrEx>
          <w:tblCellMar>
            <w:top w:w="57" w:type="dxa"/>
            <w:left w:w="57" w:type="dxa"/>
            <w:bottom w:w="57" w:type="dxa"/>
            <w:right w:w="57" w:type="dxa"/>
          </w:tblCellMar>
        </w:tblPrEx>
        <w:tc>
          <w:tcPr>
            <w:tcW w:w="0" w:type="auto"/>
            <w:hideMark/>
          </w:tcPr>
          <w:p w14:paraId="168AF133" w14:textId="77777777" w:rsidR="004F2316" w:rsidRDefault="004F2316" w:rsidP="00D46D62">
            <w:pPr>
              <w:pStyle w:val="NormalWeb"/>
            </w:pPr>
            <w:r>
              <w:t>18–29</w:t>
            </w:r>
          </w:p>
        </w:tc>
        <w:tc>
          <w:tcPr>
            <w:tcW w:w="0" w:type="auto"/>
            <w:hideMark/>
          </w:tcPr>
          <w:p w14:paraId="6B53E1A1" w14:textId="77777777" w:rsidR="004F2316" w:rsidRDefault="004F2316" w:rsidP="00D46D62">
            <w:pPr>
              <w:pStyle w:val="NormalWeb"/>
              <w:jc w:val="center"/>
            </w:pPr>
            <w:r>
              <w:t>6,267</w:t>
            </w:r>
          </w:p>
        </w:tc>
        <w:tc>
          <w:tcPr>
            <w:tcW w:w="0" w:type="auto"/>
            <w:hideMark/>
          </w:tcPr>
          <w:p w14:paraId="0C03CEDC" w14:textId="77777777" w:rsidR="004F2316" w:rsidRDefault="004F2316" w:rsidP="00D46D62">
            <w:pPr>
              <w:pStyle w:val="NormalWeb"/>
              <w:jc w:val="center"/>
            </w:pPr>
            <w:r>
              <w:t>728</w:t>
            </w:r>
          </w:p>
        </w:tc>
        <w:tc>
          <w:tcPr>
            <w:tcW w:w="0" w:type="auto"/>
            <w:hideMark/>
          </w:tcPr>
          <w:p w14:paraId="09237AA8" w14:textId="77777777" w:rsidR="004F2316" w:rsidRDefault="004F2316" w:rsidP="00D46D62">
            <w:pPr>
              <w:pStyle w:val="NormalWeb"/>
              <w:jc w:val="center"/>
            </w:pPr>
            <w:r>
              <w:t>49</w:t>
            </w:r>
          </w:p>
        </w:tc>
        <w:tc>
          <w:tcPr>
            <w:tcW w:w="0" w:type="auto"/>
            <w:hideMark/>
          </w:tcPr>
          <w:p w14:paraId="3125435E" w14:textId="77777777" w:rsidR="004F2316" w:rsidRDefault="004F2316" w:rsidP="00D46D62">
            <w:pPr>
              <w:pStyle w:val="NormalWeb"/>
              <w:jc w:val="center"/>
            </w:pPr>
            <w:r>
              <w:t>2</w:t>
            </w:r>
          </w:p>
        </w:tc>
        <w:tc>
          <w:tcPr>
            <w:tcW w:w="0" w:type="auto"/>
            <w:hideMark/>
          </w:tcPr>
          <w:p w14:paraId="7D9639CC" w14:textId="77777777" w:rsidR="004F2316" w:rsidRDefault="004F2316" w:rsidP="00D46D62">
            <w:pPr>
              <w:pStyle w:val="NormalWeb"/>
              <w:jc w:val="center"/>
            </w:pPr>
            <w:r>
              <w:t>7,046</w:t>
            </w:r>
          </w:p>
        </w:tc>
        <w:tc>
          <w:tcPr>
            <w:tcW w:w="0" w:type="auto"/>
            <w:hideMark/>
          </w:tcPr>
          <w:p w14:paraId="07344059" w14:textId="77777777" w:rsidR="004F2316" w:rsidRDefault="004F2316" w:rsidP="00D46D62">
            <w:pPr>
              <w:pStyle w:val="NormalWeb"/>
              <w:jc w:val="center"/>
            </w:pPr>
            <w:r>
              <w:t>10%</w:t>
            </w:r>
          </w:p>
        </w:tc>
        <w:tc>
          <w:tcPr>
            <w:tcW w:w="0" w:type="auto"/>
            <w:hideMark/>
          </w:tcPr>
          <w:p w14:paraId="7A9545E9" w14:textId="77777777" w:rsidR="004F2316" w:rsidRDefault="004F2316" w:rsidP="00D46D62">
            <w:pPr>
              <w:pStyle w:val="NormalWeb"/>
              <w:jc w:val="center"/>
            </w:pPr>
            <w:r>
              <w:t>1%</w:t>
            </w:r>
          </w:p>
        </w:tc>
        <w:tc>
          <w:tcPr>
            <w:tcW w:w="0" w:type="auto"/>
            <w:hideMark/>
          </w:tcPr>
          <w:p w14:paraId="4BA7E298" w14:textId="77777777" w:rsidR="004F2316" w:rsidRDefault="004F2316" w:rsidP="00D46D62">
            <w:pPr>
              <w:pStyle w:val="NormalWeb"/>
              <w:jc w:val="center"/>
            </w:pPr>
            <w:r>
              <w:t>&lt; 1%</w:t>
            </w:r>
          </w:p>
        </w:tc>
      </w:tr>
      <w:tr w:rsidR="004F2316" w14:paraId="0C1E8A34"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AE3D9D7" w14:textId="77777777" w:rsidR="004F2316" w:rsidRDefault="004F2316" w:rsidP="00D46D62">
            <w:pPr>
              <w:pStyle w:val="NormalWeb"/>
            </w:pPr>
            <w:r>
              <w:t>30–39</w:t>
            </w:r>
          </w:p>
        </w:tc>
        <w:tc>
          <w:tcPr>
            <w:tcW w:w="0" w:type="auto"/>
            <w:hideMark/>
          </w:tcPr>
          <w:p w14:paraId="5228EE4A" w14:textId="77777777" w:rsidR="004F2316" w:rsidRDefault="004F2316" w:rsidP="00D46D62">
            <w:pPr>
              <w:pStyle w:val="NormalWeb"/>
              <w:jc w:val="center"/>
            </w:pPr>
            <w:r>
              <w:t>3,937</w:t>
            </w:r>
          </w:p>
        </w:tc>
        <w:tc>
          <w:tcPr>
            <w:tcW w:w="0" w:type="auto"/>
            <w:hideMark/>
          </w:tcPr>
          <w:p w14:paraId="074A6DEB" w14:textId="77777777" w:rsidR="004F2316" w:rsidRDefault="004F2316" w:rsidP="00D46D62">
            <w:pPr>
              <w:pStyle w:val="NormalWeb"/>
              <w:jc w:val="center"/>
            </w:pPr>
            <w:r>
              <w:t>744</w:t>
            </w:r>
          </w:p>
        </w:tc>
        <w:tc>
          <w:tcPr>
            <w:tcW w:w="0" w:type="auto"/>
            <w:hideMark/>
          </w:tcPr>
          <w:p w14:paraId="4D678C77" w14:textId="77777777" w:rsidR="004F2316" w:rsidRDefault="004F2316" w:rsidP="00D46D62">
            <w:pPr>
              <w:pStyle w:val="NormalWeb"/>
              <w:jc w:val="center"/>
            </w:pPr>
            <w:r>
              <w:t>60</w:t>
            </w:r>
          </w:p>
        </w:tc>
        <w:tc>
          <w:tcPr>
            <w:tcW w:w="0" w:type="auto"/>
            <w:hideMark/>
          </w:tcPr>
          <w:p w14:paraId="18847EA2" w14:textId="77777777" w:rsidR="004F2316" w:rsidRDefault="004F2316" w:rsidP="00D46D62">
            <w:pPr>
              <w:pStyle w:val="NormalWeb"/>
              <w:jc w:val="center"/>
            </w:pPr>
            <w:r>
              <w:t>5</w:t>
            </w:r>
          </w:p>
        </w:tc>
        <w:tc>
          <w:tcPr>
            <w:tcW w:w="0" w:type="auto"/>
            <w:hideMark/>
          </w:tcPr>
          <w:p w14:paraId="2DFAD8AE" w14:textId="77777777" w:rsidR="004F2316" w:rsidRDefault="004F2316" w:rsidP="00D46D62">
            <w:pPr>
              <w:pStyle w:val="NormalWeb"/>
              <w:jc w:val="center"/>
            </w:pPr>
            <w:r>
              <w:t>4,746</w:t>
            </w:r>
          </w:p>
        </w:tc>
        <w:tc>
          <w:tcPr>
            <w:tcW w:w="0" w:type="auto"/>
            <w:hideMark/>
          </w:tcPr>
          <w:p w14:paraId="0B575E29" w14:textId="77777777" w:rsidR="004F2316" w:rsidRDefault="004F2316" w:rsidP="00D46D62">
            <w:pPr>
              <w:pStyle w:val="NormalWeb"/>
              <w:jc w:val="center"/>
            </w:pPr>
            <w:r>
              <w:t>16%</w:t>
            </w:r>
          </w:p>
        </w:tc>
        <w:tc>
          <w:tcPr>
            <w:tcW w:w="0" w:type="auto"/>
            <w:hideMark/>
          </w:tcPr>
          <w:p w14:paraId="31C4014B" w14:textId="77777777" w:rsidR="004F2316" w:rsidRDefault="004F2316" w:rsidP="00D46D62">
            <w:pPr>
              <w:pStyle w:val="NormalWeb"/>
              <w:jc w:val="center"/>
            </w:pPr>
            <w:r>
              <w:t>1%</w:t>
            </w:r>
          </w:p>
        </w:tc>
        <w:tc>
          <w:tcPr>
            <w:tcW w:w="0" w:type="auto"/>
            <w:hideMark/>
          </w:tcPr>
          <w:p w14:paraId="47726F24" w14:textId="77777777" w:rsidR="004F2316" w:rsidRDefault="004F2316" w:rsidP="00D46D62">
            <w:pPr>
              <w:pStyle w:val="NormalWeb"/>
              <w:jc w:val="center"/>
            </w:pPr>
            <w:r>
              <w:t>&lt; 1%</w:t>
            </w:r>
          </w:p>
        </w:tc>
      </w:tr>
      <w:tr w:rsidR="004F2316" w14:paraId="073381BE" w14:textId="77777777" w:rsidTr="00D46D62">
        <w:tblPrEx>
          <w:tblCellMar>
            <w:top w:w="57" w:type="dxa"/>
            <w:left w:w="57" w:type="dxa"/>
            <w:bottom w:w="57" w:type="dxa"/>
            <w:right w:w="57" w:type="dxa"/>
          </w:tblCellMar>
        </w:tblPrEx>
        <w:tc>
          <w:tcPr>
            <w:tcW w:w="0" w:type="auto"/>
            <w:hideMark/>
          </w:tcPr>
          <w:p w14:paraId="0AA8A35E" w14:textId="77777777" w:rsidR="004F2316" w:rsidRDefault="004F2316" w:rsidP="00D46D62">
            <w:pPr>
              <w:pStyle w:val="NormalWeb"/>
            </w:pPr>
            <w:r>
              <w:t>40–49</w:t>
            </w:r>
          </w:p>
        </w:tc>
        <w:tc>
          <w:tcPr>
            <w:tcW w:w="0" w:type="auto"/>
            <w:hideMark/>
          </w:tcPr>
          <w:p w14:paraId="029002A7" w14:textId="77777777" w:rsidR="004F2316" w:rsidRDefault="004F2316" w:rsidP="00D46D62">
            <w:pPr>
              <w:pStyle w:val="NormalWeb"/>
              <w:jc w:val="center"/>
            </w:pPr>
            <w:r>
              <w:t>2,506</w:t>
            </w:r>
          </w:p>
        </w:tc>
        <w:tc>
          <w:tcPr>
            <w:tcW w:w="0" w:type="auto"/>
            <w:hideMark/>
          </w:tcPr>
          <w:p w14:paraId="69C2684E" w14:textId="77777777" w:rsidR="004F2316" w:rsidRDefault="004F2316" w:rsidP="00D46D62">
            <w:pPr>
              <w:pStyle w:val="NormalWeb"/>
              <w:jc w:val="center"/>
            </w:pPr>
            <w:r>
              <w:t>619</w:t>
            </w:r>
          </w:p>
        </w:tc>
        <w:tc>
          <w:tcPr>
            <w:tcW w:w="0" w:type="auto"/>
            <w:hideMark/>
          </w:tcPr>
          <w:p w14:paraId="6228558C" w14:textId="77777777" w:rsidR="004F2316" w:rsidRDefault="004F2316" w:rsidP="00D46D62">
            <w:pPr>
              <w:pStyle w:val="NormalWeb"/>
              <w:jc w:val="center"/>
            </w:pPr>
            <w:r>
              <w:t>87</w:t>
            </w:r>
          </w:p>
        </w:tc>
        <w:tc>
          <w:tcPr>
            <w:tcW w:w="0" w:type="auto"/>
            <w:hideMark/>
          </w:tcPr>
          <w:p w14:paraId="4066CB34" w14:textId="77777777" w:rsidR="004F2316" w:rsidRDefault="004F2316" w:rsidP="00D46D62">
            <w:pPr>
              <w:pStyle w:val="NormalWeb"/>
              <w:jc w:val="center"/>
            </w:pPr>
            <w:r>
              <w:t>4</w:t>
            </w:r>
          </w:p>
        </w:tc>
        <w:tc>
          <w:tcPr>
            <w:tcW w:w="0" w:type="auto"/>
            <w:hideMark/>
          </w:tcPr>
          <w:p w14:paraId="428E6095" w14:textId="77777777" w:rsidR="004F2316" w:rsidRDefault="004F2316" w:rsidP="00D46D62">
            <w:pPr>
              <w:pStyle w:val="NormalWeb"/>
              <w:jc w:val="center"/>
            </w:pPr>
            <w:r>
              <w:t>3,216</w:t>
            </w:r>
          </w:p>
        </w:tc>
        <w:tc>
          <w:tcPr>
            <w:tcW w:w="0" w:type="auto"/>
            <w:hideMark/>
          </w:tcPr>
          <w:p w14:paraId="6B1C1409" w14:textId="77777777" w:rsidR="004F2316" w:rsidRDefault="004F2316" w:rsidP="00D46D62">
            <w:pPr>
              <w:pStyle w:val="NormalWeb"/>
              <w:jc w:val="center"/>
            </w:pPr>
            <w:r>
              <w:t>19%</w:t>
            </w:r>
          </w:p>
        </w:tc>
        <w:tc>
          <w:tcPr>
            <w:tcW w:w="0" w:type="auto"/>
            <w:hideMark/>
          </w:tcPr>
          <w:p w14:paraId="2F398A4B" w14:textId="77777777" w:rsidR="004F2316" w:rsidRDefault="004F2316" w:rsidP="00D46D62">
            <w:pPr>
              <w:pStyle w:val="NormalWeb"/>
              <w:jc w:val="center"/>
            </w:pPr>
            <w:r>
              <w:t>3%</w:t>
            </w:r>
          </w:p>
        </w:tc>
        <w:tc>
          <w:tcPr>
            <w:tcW w:w="0" w:type="auto"/>
            <w:hideMark/>
          </w:tcPr>
          <w:p w14:paraId="4D7B1DD0" w14:textId="77777777" w:rsidR="004F2316" w:rsidRDefault="004F2316" w:rsidP="00D46D62">
            <w:pPr>
              <w:pStyle w:val="NormalWeb"/>
              <w:jc w:val="center"/>
            </w:pPr>
            <w:r>
              <w:t>&lt; 1%</w:t>
            </w:r>
          </w:p>
        </w:tc>
      </w:tr>
      <w:tr w:rsidR="004F2316" w14:paraId="60D8F252"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5E050CF2" w14:textId="77777777" w:rsidR="004F2316" w:rsidRDefault="004F2316" w:rsidP="00D46D62">
            <w:pPr>
              <w:pStyle w:val="NormalWeb"/>
            </w:pPr>
            <w:r>
              <w:t>50–59</w:t>
            </w:r>
          </w:p>
        </w:tc>
        <w:tc>
          <w:tcPr>
            <w:tcW w:w="0" w:type="auto"/>
            <w:hideMark/>
          </w:tcPr>
          <w:p w14:paraId="02CE7F3A" w14:textId="77777777" w:rsidR="004F2316" w:rsidRDefault="004F2316" w:rsidP="00D46D62">
            <w:pPr>
              <w:pStyle w:val="NormalWeb"/>
              <w:jc w:val="center"/>
            </w:pPr>
            <w:r>
              <w:t>1,807</w:t>
            </w:r>
          </w:p>
        </w:tc>
        <w:tc>
          <w:tcPr>
            <w:tcW w:w="0" w:type="auto"/>
            <w:hideMark/>
          </w:tcPr>
          <w:p w14:paraId="46F38958" w14:textId="77777777" w:rsidR="004F2316" w:rsidRDefault="004F2316" w:rsidP="00D46D62">
            <w:pPr>
              <w:pStyle w:val="NormalWeb"/>
              <w:jc w:val="center"/>
            </w:pPr>
            <w:r>
              <w:t>548</w:t>
            </w:r>
          </w:p>
        </w:tc>
        <w:tc>
          <w:tcPr>
            <w:tcW w:w="0" w:type="auto"/>
            <w:hideMark/>
          </w:tcPr>
          <w:p w14:paraId="07E8D46F" w14:textId="77777777" w:rsidR="004F2316" w:rsidRDefault="004F2316" w:rsidP="00D46D62">
            <w:pPr>
              <w:pStyle w:val="NormalWeb"/>
              <w:jc w:val="center"/>
            </w:pPr>
            <w:r>
              <w:t>101</w:t>
            </w:r>
          </w:p>
        </w:tc>
        <w:tc>
          <w:tcPr>
            <w:tcW w:w="0" w:type="auto"/>
            <w:hideMark/>
          </w:tcPr>
          <w:p w14:paraId="0A2A5A2E" w14:textId="77777777" w:rsidR="004F2316" w:rsidRDefault="004F2316" w:rsidP="00D46D62">
            <w:pPr>
              <w:pStyle w:val="NormalWeb"/>
              <w:jc w:val="center"/>
            </w:pPr>
            <w:r>
              <w:t>12</w:t>
            </w:r>
          </w:p>
        </w:tc>
        <w:tc>
          <w:tcPr>
            <w:tcW w:w="0" w:type="auto"/>
            <w:hideMark/>
          </w:tcPr>
          <w:p w14:paraId="15D23E80" w14:textId="77777777" w:rsidR="004F2316" w:rsidRDefault="004F2316" w:rsidP="00D46D62">
            <w:pPr>
              <w:pStyle w:val="NormalWeb"/>
              <w:jc w:val="center"/>
            </w:pPr>
            <w:r>
              <w:t>2,468</w:t>
            </w:r>
          </w:p>
        </w:tc>
        <w:tc>
          <w:tcPr>
            <w:tcW w:w="0" w:type="auto"/>
            <w:hideMark/>
          </w:tcPr>
          <w:p w14:paraId="3DB47949" w14:textId="77777777" w:rsidR="004F2316" w:rsidRDefault="004F2316" w:rsidP="00D46D62">
            <w:pPr>
              <w:pStyle w:val="NormalWeb"/>
              <w:jc w:val="center"/>
            </w:pPr>
            <w:r>
              <w:t>22%</w:t>
            </w:r>
          </w:p>
        </w:tc>
        <w:tc>
          <w:tcPr>
            <w:tcW w:w="0" w:type="auto"/>
            <w:hideMark/>
          </w:tcPr>
          <w:p w14:paraId="4F9DB59E" w14:textId="77777777" w:rsidR="004F2316" w:rsidRDefault="004F2316" w:rsidP="00D46D62">
            <w:pPr>
              <w:pStyle w:val="NormalWeb"/>
              <w:jc w:val="center"/>
            </w:pPr>
            <w:r>
              <w:t>4%</w:t>
            </w:r>
          </w:p>
        </w:tc>
        <w:tc>
          <w:tcPr>
            <w:tcW w:w="0" w:type="auto"/>
            <w:hideMark/>
          </w:tcPr>
          <w:p w14:paraId="704D4EE7" w14:textId="77777777" w:rsidR="004F2316" w:rsidRDefault="004F2316" w:rsidP="00D46D62">
            <w:pPr>
              <w:pStyle w:val="NormalWeb"/>
              <w:jc w:val="center"/>
            </w:pPr>
            <w:r>
              <w:t>&lt; 1%</w:t>
            </w:r>
          </w:p>
        </w:tc>
      </w:tr>
      <w:tr w:rsidR="004F2316" w14:paraId="1BE2AD2A" w14:textId="77777777" w:rsidTr="00D46D62">
        <w:tblPrEx>
          <w:tblCellMar>
            <w:top w:w="57" w:type="dxa"/>
            <w:left w:w="57" w:type="dxa"/>
            <w:bottom w:w="57" w:type="dxa"/>
            <w:right w:w="57" w:type="dxa"/>
          </w:tblCellMar>
        </w:tblPrEx>
        <w:tc>
          <w:tcPr>
            <w:tcW w:w="0" w:type="auto"/>
            <w:hideMark/>
          </w:tcPr>
          <w:p w14:paraId="7DD51E1C" w14:textId="77777777" w:rsidR="004F2316" w:rsidRDefault="004F2316" w:rsidP="00D46D62">
            <w:pPr>
              <w:pStyle w:val="NormalWeb"/>
            </w:pPr>
            <w:r>
              <w:t>60–69</w:t>
            </w:r>
          </w:p>
        </w:tc>
        <w:tc>
          <w:tcPr>
            <w:tcW w:w="0" w:type="auto"/>
            <w:hideMark/>
          </w:tcPr>
          <w:p w14:paraId="73F10EB5" w14:textId="77777777" w:rsidR="004F2316" w:rsidRDefault="004F2316" w:rsidP="00D46D62">
            <w:pPr>
              <w:pStyle w:val="NormalWeb"/>
              <w:jc w:val="center"/>
            </w:pPr>
            <w:r>
              <w:t>816</w:t>
            </w:r>
          </w:p>
        </w:tc>
        <w:tc>
          <w:tcPr>
            <w:tcW w:w="0" w:type="auto"/>
            <w:hideMark/>
          </w:tcPr>
          <w:p w14:paraId="01CE1D62" w14:textId="77777777" w:rsidR="004F2316" w:rsidRDefault="004F2316" w:rsidP="00D46D62">
            <w:pPr>
              <w:pStyle w:val="NormalWeb"/>
              <w:jc w:val="center"/>
            </w:pPr>
            <w:r>
              <w:t>356</w:t>
            </w:r>
          </w:p>
        </w:tc>
        <w:tc>
          <w:tcPr>
            <w:tcW w:w="0" w:type="auto"/>
            <w:hideMark/>
          </w:tcPr>
          <w:p w14:paraId="5B49F42B" w14:textId="77777777" w:rsidR="004F2316" w:rsidRDefault="004F2316" w:rsidP="00D46D62">
            <w:pPr>
              <w:pStyle w:val="NormalWeb"/>
              <w:jc w:val="center"/>
            </w:pPr>
            <w:r>
              <w:t>83</w:t>
            </w:r>
          </w:p>
        </w:tc>
        <w:tc>
          <w:tcPr>
            <w:tcW w:w="0" w:type="auto"/>
            <w:hideMark/>
          </w:tcPr>
          <w:p w14:paraId="3F28FEF9" w14:textId="77777777" w:rsidR="004F2316" w:rsidRDefault="004F2316" w:rsidP="00D46D62">
            <w:pPr>
              <w:pStyle w:val="NormalWeb"/>
              <w:jc w:val="center"/>
            </w:pPr>
            <w:r>
              <w:t>18</w:t>
            </w:r>
          </w:p>
        </w:tc>
        <w:tc>
          <w:tcPr>
            <w:tcW w:w="0" w:type="auto"/>
            <w:hideMark/>
          </w:tcPr>
          <w:p w14:paraId="22CA6FC6" w14:textId="77777777" w:rsidR="004F2316" w:rsidRDefault="004F2316" w:rsidP="00D46D62">
            <w:pPr>
              <w:pStyle w:val="NormalWeb"/>
              <w:jc w:val="center"/>
            </w:pPr>
            <w:r>
              <w:t>1,273</w:t>
            </w:r>
          </w:p>
        </w:tc>
        <w:tc>
          <w:tcPr>
            <w:tcW w:w="0" w:type="auto"/>
            <w:hideMark/>
          </w:tcPr>
          <w:p w14:paraId="4B2EC630" w14:textId="77777777" w:rsidR="004F2316" w:rsidRDefault="004F2316" w:rsidP="00D46D62">
            <w:pPr>
              <w:pStyle w:val="NormalWeb"/>
              <w:jc w:val="center"/>
            </w:pPr>
            <w:r>
              <w:t>28%</w:t>
            </w:r>
          </w:p>
        </w:tc>
        <w:tc>
          <w:tcPr>
            <w:tcW w:w="0" w:type="auto"/>
            <w:hideMark/>
          </w:tcPr>
          <w:p w14:paraId="5C75EF4F" w14:textId="77777777" w:rsidR="004F2316" w:rsidRDefault="004F2316" w:rsidP="00D46D62">
            <w:pPr>
              <w:pStyle w:val="NormalWeb"/>
              <w:jc w:val="center"/>
            </w:pPr>
            <w:r>
              <w:t>7%</w:t>
            </w:r>
          </w:p>
        </w:tc>
        <w:tc>
          <w:tcPr>
            <w:tcW w:w="0" w:type="auto"/>
            <w:hideMark/>
          </w:tcPr>
          <w:p w14:paraId="336A9BAB" w14:textId="77777777" w:rsidR="004F2316" w:rsidRDefault="004F2316" w:rsidP="00D46D62">
            <w:pPr>
              <w:pStyle w:val="NormalWeb"/>
              <w:jc w:val="center"/>
            </w:pPr>
            <w:r>
              <w:t>1%</w:t>
            </w:r>
          </w:p>
        </w:tc>
      </w:tr>
      <w:tr w:rsidR="004F2316" w14:paraId="6E0F3C74"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219E704" w14:textId="77777777" w:rsidR="004F2316" w:rsidRDefault="004F2316" w:rsidP="00D46D62">
            <w:pPr>
              <w:pStyle w:val="NormalWeb"/>
            </w:pPr>
            <w:r>
              <w:t>70–79</w:t>
            </w:r>
          </w:p>
        </w:tc>
        <w:tc>
          <w:tcPr>
            <w:tcW w:w="0" w:type="auto"/>
            <w:hideMark/>
          </w:tcPr>
          <w:p w14:paraId="16C07E97" w14:textId="77777777" w:rsidR="004F2316" w:rsidRDefault="004F2316" w:rsidP="00D46D62">
            <w:pPr>
              <w:pStyle w:val="NormalWeb"/>
              <w:jc w:val="center"/>
            </w:pPr>
            <w:r>
              <w:t>263</w:t>
            </w:r>
          </w:p>
        </w:tc>
        <w:tc>
          <w:tcPr>
            <w:tcW w:w="0" w:type="auto"/>
            <w:hideMark/>
          </w:tcPr>
          <w:p w14:paraId="71C51D2D" w14:textId="77777777" w:rsidR="004F2316" w:rsidRDefault="004F2316" w:rsidP="00D46D62">
            <w:pPr>
              <w:pStyle w:val="NormalWeb"/>
              <w:jc w:val="center"/>
            </w:pPr>
            <w:r>
              <w:t>208</w:t>
            </w:r>
          </w:p>
        </w:tc>
        <w:tc>
          <w:tcPr>
            <w:tcW w:w="0" w:type="auto"/>
            <w:hideMark/>
          </w:tcPr>
          <w:p w14:paraId="31FD3BA3" w14:textId="77777777" w:rsidR="004F2316" w:rsidRDefault="004F2316" w:rsidP="00D46D62">
            <w:pPr>
              <w:pStyle w:val="NormalWeb"/>
              <w:jc w:val="center"/>
            </w:pPr>
            <w:r>
              <w:t>38</w:t>
            </w:r>
          </w:p>
        </w:tc>
        <w:tc>
          <w:tcPr>
            <w:tcW w:w="0" w:type="auto"/>
            <w:hideMark/>
          </w:tcPr>
          <w:p w14:paraId="5AE5B275" w14:textId="77777777" w:rsidR="004F2316" w:rsidRDefault="004F2316" w:rsidP="00D46D62">
            <w:pPr>
              <w:pStyle w:val="NormalWeb"/>
              <w:jc w:val="center"/>
            </w:pPr>
            <w:r>
              <w:t>41</w:t>
            </w:r>
          </w:p>
        </w:tc>
        <w:tc>
          <w:tcPr>
            <w:tcW w:w="0" w:type="auto"/>
            <w:hideMark/>
          </w:tcPr>
          <w:p w14:paraId="38FC0EF7" w14:textId="77777777" w:rsidR="004F2316" w:rsidRDefault="004F2316" w:rsidP="00D46D62">
            <w:pPr>
              <w:pStyle w:val="NormalWeb"/>
              <w:jc w:val="center"/>
            </w:pPr>
            <w:r>
              <w:t>550</w:t>
            </w:r>
          </w:p>
        </w:tc>
        <w:tc>
          <w:tcPr>
            <w:tcW w:w="0" w:type="auto"/>
            <w:hideMark/>
          </w:tcPr>
          <w:p w14:paraId="38D6F91D" w14:textId="77777777" w:rsidR="004F2316" w:rsidRDefault="004F2316" w:rsidP="00D46D62">
            <w:pPr>
              <w:pStyle w:val="NormalWeb"/>
              <w:jc w:val="center"/>
            </w:pPr>
            <w:r>
              <w:t>38%</w:t>
            </w:r>
          </w:p>
        </w:tc>
        <w:tc>
          <w:tcPr>
            <w:tcW w:w="0" w:type="auto"/>
            <w:hideMark/>
          </w:tcPr>
          <w:p w14:paraId="2A1FB024" w14:textId="77777777" w:rsidR="004F2316" w:rsidRDefault="004F2316" w:rsidP="00D46D62">
            <w:pPr>
              <w:pStyle w:val="NormalWeb"/>
              <w:jc w:val="center"/>
            </w:pPr>
            <w:r>
              <w:t>7%</w:t>
            </w:r>
          </w:p>
        </w:tc>
        <w:tc>
          <w:tcPr>
            <w:tcW w:w="0" w:type="auto"/>
            <w:hideMark/>
          </w:tcPr>
          <w:p w14:paraId="1CB5306B" w14:textId="77777777" w:rsidR="004F2316" w:rsidRDefault="004F2316" w:rsidP="00D46D62">
            <w:pPr>
              <w:pStyle w:val="NormalWeb"/>
              <w:jc w:val="center"/>
            </w:pPr>
            <w:r>
              <w:t>7%</w:t>
            </w:r>
          </w:p>
        </w:tc>
      </w:tr>
      <w:tr w:rsidR="004F2316" w14:paraId="6395ECA9" w14:textId="77777777" w:rsidTr="00D46D62">
        <w:tblPrEx>
          <w:tblCellMar>
            <w:top w:w="57" w:type="dxa"/>
            <w:left w:w="57" w:type="dxa"/>
            <w:bottom w:w="57" w:type="dxa"/>
            <w:right w:w="57" w:type="dxa"/>
          </w:tblCellMar>
        </w:tblPrEx>
        <w:tc>
          <w:tcPr>
            <w:tcW w:w="0" w:type="auto"/>
            <w:hideMark/>
          </w:tcPr>
          <w:p w14:paraId="598F2833" w14:textId="77777777" w:rsidR="004F2316" w:rsidRDefault="004F2316" w:rsidP="00D46D62">
            <w:pPr>
              <w:pStyle w:val="NormalWeb"/>
            </w:pPr>
            <w:r>
              <w:t>80–89</w:t>
            </w:r>
          </w:p>
        </w:tc>
        <w:tc>
          <w:tcPr>
            <w:tcW w:w="0" w:type="auto"/>
            <w:hideMark/>
          </w:tcPr>
          <w:p w14:paraId="64060252" w14:textId="77777777" w:rsidR="004F2316" w:rsidRDefault="004F2316" w:rsidP="00D46D62">
            <w:pPr>
              <w:pStyle w:val="NormalWeb"/>
              <w:jc w:val="center"/>
            </w:pPr>
            <w:r>
              <w:t>75</w:t>
            </w:r>
          </w:p>
        </w:tc>
        <w:tc>
          <w:tcPr>
            <w:tcW w:w="0" w:type="auto"/>
            <w:hideMark/>
          </w:tcPr>
          <w:p w14:paraId="5593DCCE" w14:textId="77777777" w:rsidR="004F2316" w:rsidRDefault="004F2316" w:rsidP="00D46D62">
            <w:pPr>
              <w:pStyle w:val="NormalWeb"/>
              <w:jc w:val="center"/>
            </w:pPr>
            <w:r>
              <w:t>135</w:t>
            </w:r>
          </w:p>
        </w:tc>
        <w:tc>
          <w:tcPr>
            <w:tcW w:w="0" w:type="auto"/>
            <w:hideMark/>
          </w:tcPr>
          <w:p w14:paraId="248A9C96" w14:textId="77777777" w:rsidR="004F2316" w:rsidRDefault="004F2316" w:rsidP="00D46D62">
            <w:pPr>
              <w:pStyle w:val="NormalWeb"/>
              <w:jc w:val="center"/>
            </w:pPr>
            <w:r>
              <w:t>9</w:t>
            </w:r>
          </w:p>
        </w:tc>
        <w:tc>
          <w:tcPr>
            <w:tcW w:w="0" w:type="auto"/>
            <w:hideMark/>
          </w:tcPr>
          <w:p w14:paraId="74A5E07C" w14:textId="77777777" w:rsidR="004F2316" w:rsidRDefault="004F2316" w:rsidP="00D46D62">
            <w:pPr>
              <w:pStyle w:val="NormalWeb"/>
              <w:jc w:val="center"/>
            </w:pPr>
            <w:r>
              <w:t>52</w:t>
            </w:r>
          </w:p>
        </w:tc>
        <w:tc>
          <w:tcPr>
            <w:tcW w:w="0" w:type="auto"/>
            <w:hideMark/>
          </w:tcPr>
          <w:p w14:paraId="1AA1E584" w14:textId="77777777" w:rsidR="004F2316" w:rsidRDefault="004F2316" w:rsidP="00D46D62">
            <w:pPr>
              <w:pStyle w:val="NormalWeb"/>
              <w:jc w:val="center"/>
            </w:pPr>
            <w:r>
              <w:t>271</w:t>
            </w:r>
          </w:p>
        </w:tc>
        <w:tc>
          <w:tcPr>
            <w:tcW w:w="0" w:type="auto"/>
            <w:hideMark/>
          </w:tcPr>
          <w:p w14:paraId="4FEEC528" w14:textId="77777777" w:rsidR="004F2316" w:rsidRDefault="004F2316" w:rsidP="00D46D62">
            <w:pPr>
              <w:pStyle w:val="NormalWeb"/>
              <w:jc w:val="center"/>
            </w:pPr>
            <w:r>
              <w:t>50%</w:t>
            </w:r>
          </w:p>
        </w:tc>
        <w:tc>
          <w:tcPr>
            <w:tcW w:w="0" w:type="auto"/>
            <w:hideMark/>
          </w:tcPr>
          <w:p w14:paraId="160E5EF5" w14:textId="77777777" w:rsidR="004F2316" w:rsidRDefault="004F2316" w:rsidP="00D46D62">
            <w:pPr>
              <w:pStyle w:val="NormalWeb"/>
              <w:jc w:val="center"/>
            </w:pPr>
            <w:r>
              <w:t>3%</w:t>
            </w:r>
          </w:p>
        </w:tc>
        <w:tc>
          <w:tcPr>
            <w:tcW w:w="0" w:type="auto"/>
            <w:hideMark/>
          </w:tcPr>
          <w:p w14:paraId="405DA529" w14:textId="77777777" w:rsidR="004F2316" w:rsidRDefault="004F2316" w:rsidP="00D46D62">
            <w:pPr>
              <w:pStyle w:val="NormalWeb"/>
              <w:jc w:val="center"/>
            </w:pPr>
            <w:r>
              <w:t>19%</w:t>
            </w:r>
          </w:p>
        </w:tc>
      </w:tr>
      <w:tr w:rsidR="004F2316" w14:paraId="7C18D1B1"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09A4F646" w14:textId="77777777" w:rsidR="004F2316" w:rsidRDefault="004F2316" w:rsidP="00D46D62">
            <w:pPr>
              <w:pStyle w:val="NormalWeb"/>
            </w:pPr>
            <w:r>
              <w:t>90+</w:t>
            </w:r>
          </w:p>
        </w:tc>
        <w:tc>
          <w:tcPr>
            <w:tcW w:w="0" w:type="auto"/>
            <w:hideMark/>
          </w:tcPr>
          <w:p w14:paraId="18889DF8" w14:textId="77777777" w:rsidR="004F2316" w:rsidRDefault="004F2316" w:rsidP="00D46D62">
            <w:pPr>
              <w:pStyle w:val="NormalWeb"/>
              <w:jc w:val="center"/>
            </w:pPr>
            <w:r>
              <w:t>20</w:t>
            </w:r>
          </w:p>
        </w:tc>
        <w:tc>
          <w:tcPr>
            <w:tcW w:w="0" w:type="auto"/>
            <w:hideMark/>
          </w:tcPr>
          <w:p w14:paraId="4C20F1F5" w14:textId="77777777" w:rsidR="004F2316" w:rsidRDefault="004F2316" w:rsidP="00D46D62">
            <w:pPr>
              <w:pStyle w:val="NormalWeb"/>
              <w:jc w:val="center"/>
            </w:pPr>
            <w:r>
              <w:t>42</w:t>
            </w:r>
          </w:p>
        </w:tc>
        <w:tc>
          <w:tcPr>
            <w:tcW w:w="0" w:type="auto"/>
            <w:hideMark/>
          </w:tcPr>
          <w:p w14:paraId="26EF2D0E" w14:textId="77777777" w:rsidR="004F2316" w:rsidRDefault="004F2316" w:rsidP="00D46D62">
            <w:pPr>
              <w:pStyle w:val="NormalWeb"/>
              <w:jc w:val="center"/>
            </w:pPr>
            <w:r>
              <w:t>0</w:t>
            </w:r>
          </w:p>
        </w:tc>
        <w:tc>
          <w:tcPr>
            <w:tcW w:w="0" w:type="auto"/>
            <w:hideMark/>
          </w:tcPr>
          <w:p w14:paraId="40A03EE3" w14:textId="77777777" w:rsidR="004F2316" w:rsidRDefault="004F2316" w:rsidP="00D46D62">
            <w:pPr>
              <w:pStyle w:val="NormalWeb"/>
              <w:jc w:val="center"/>
            </w:pPr>
            <w:r>
              <w:t>20</w:t>
            </w:r>
          </w:p>
        </w:tc>
        <w:tc>
          <w:tcPr>
            <w:tcW w:w="0" w:type="auto"/>
            <w:hideMark/>
          </w:tcPr>
          <w:p w14:paraId="5E996B45" w14:textId="77777777" w:rsidR="004F2316" w:rsidRDefault="004F2316" w:rsidP="00D46D62">
            <w:pPr>
              <w:pStyle w:val="NormalWeb"/>
              <w:jc w:val="center"/>
            </w:pPr>
            <w:r>
              <w:t>82</w:t>
            </w:r>
          </w:p>
        </w:tc>
        <w:tc>
          <w:tcPr>
            <w:tcW w:w="0" w:type="auto"/>
            <w:hideMark/>
          </w:tcPr>
          <w:p w14:paraId="3EB529FB" w14:textId="77777777" w:rsidR="004F2316" w:rsidRDefault="004F2316" w:rsidP="00D46D62">
            <w:pPr>
              <w:pStyle w:val="NormalWeb"/>
              <w:jc w:val="center"/>
            </w:pPr>
            <w:r>
              <w:t>51%</w:t>
            </w:r>
          </w:p>
        </w:tc>
        <w:tc>
          <w:tcPr>
            <w:tcW w:w="0" w:type="auto"/>
            <w:hideMark/>
          </w:tcPr>
          <w:p w14:paraId="47185BF3" w14:textId="77777777" w:rsidR="004F2316" w:rsidRDefault="004F2316" w:rsidP="00D46D62">
            <w:pPr>
              <w:pStyle w:val="NormalWeb"/>
              <w:jc w:val="center"/>
            </w:pPr>
            <w:r>
              <w:t>0%</w:t>
            </w:r>
          </w:p>
        </w:tc>
        <w:tc>
          <w:tcPr>
            <w:tcW w:w="0" w:type="auto"/>
            <w:hideMark/>
          </w:tcPr>
          <w:p w14:paraId="0C8C43FC" w14:textId="77777777" w:rsidR="004F2316" w:rsidRDefault="004F2316" w:rsidP="00D46D62">
            <w:pPr>
              <w:pStyle w:val="NormalWeb"/>
              <w:jc w:val="center"/>
            </w:pPr>
            <w:r>
              <w:t>24%</w:t>
            </w:r>
          </w:p>
        </w:tc>
      </w:tr>
      <w:tr w:rsidR="004F2316" w14:paraId="05206C66" w14:textId="77777777" w:rsidTr="00D46D62">
        <w:tblPrEx>
          <w:tblCellMar>
            <w:top w:w="57" w:type="dxa"/>
            <w:left w:w="57" w:type="dxa"/>
            <w:bottom w:w="57" w:type="dxa"/>
            <w:right w:w="57" w:type="dxa"/>
          </w:tblCellMar>
        </w:tblPrEx>
        <w:tc>
          <w:tcPr>
            <w:tcW w:w="0" w:type="auto"/>
            <w:hideMark/>
          </w:tcPr>
          <w:p w14:paraId="5F316783" w14:textId="77777777" w:rsidR="004F2316" w:rsidRDefault="004F2316" w:rsidP="00D46D62">
            <w:pPr>
              <w:pStyle w:val="NormalWeb"/>
            </w:pPr>
            <w:r>
              <w:t>Unknown</w:t>
            </w:r>
          </w:p>
        </w:tc>
        <w:tc>
          <w:tcPr>
            <w:tcW w:w="0" w:type="auto"/>
            <w:hideMark/>
          </w:tcPr>
          <w:p w14:paraId="055D024E" w14:textId="77777777" w:rsidR="004F2316" w:rsidRDefault="004F2316" w:rsidP="00D46D62">
            <w:pPr>
              <w:pStyle w:val="NormalWeb"/>
              <w:jc w:val="center"/>
            </w:pPr>
            <w:r>
              <w:t>1</w:t>
            </w:r>
          </w:p>
        </w:tc>
        <w:tc>
          <w:tcPr>
            <w:tcW w:w="0" w:type="auto"/>
            <w:hideMark/>
          </w:tcPr>
          <w:p w14:paraId="5C2E2B86" w14:textId="77777777" w:rsidR="004F2316" w:rsidRDefault="004F2316" w:rsidP="00D46D62">
            <w:pPr>
              <w:pStyle w:val="NormalWeb"/>
              <w:jc w:val="center"/>
            </w:pPr>
            <w:r>
              <w:t>0</w:t>
            </w:r>
          </w:p>
        </w:tc>
        <w:tc>
          <w:tcPr>
            <w:tcW w:w="0" w:type="auto"/>
            <w:hideMark/>
          </w:tcPr>
          <w:p w14:paraId="72488E91" w14:textId="77777777" w:rsidR="004F2316" w:rsidRDefault="004F2316" w:rsidP="00D46D62">
            <w:pPr>
              <w:pStyle w:val="NormalWeb"/>
              <w:jc w:val="center"/>
            </w:pPr>
            <w:r>
              <w:t>0</w:t>
            </w:r>
          </w:p>
        </w:tc>
        <w:tc>
          <w:tcPr>
            <w:tcW w:w="0" w:type="auto"/>
            <w:hideMark/>
          </w:tcPr>
          <w:p w14:paraId="6492372D" w14:textId="77777777" w:rsidR="004F2316" w:rsidRDefault="004F2316" w:rsidP="00D46D62">
            <w:pPr>
              <w:pStyle w:val="NormalWeb"/>
              <w:jc w:val="center"/>
            </w:pPr>
            <w:r>
              <w:t>0</w:t>
            </w:r>
          </w:p>
        </w:tc>
        <w:tc>
          <w:tcPr>
            <w:tcW w:w="0" w:type="auto"/>
            <w:hideMark/>
          </w:tcPr>
          <w:p w14:paraId="585BA5C5" w14:textId="77777777" w:rsidR="004F2316" w:rsidRDefault="004F2316" w:rsidP="00D46D62">
            <w:pPr>
              <w:pStyle w:val="NormalWeb"/>
              <w:jc w:val="center"/>
            </w:pPr>
            <w:r>
              <w:t>1</w:t>
            </w:r>
          </w:p>
        </w:tc>
        <w:tc>
          <w:tcPr>
            <w:tcW w:w="0" w:type="auto"/>
            <w:hideMark/>
          </w:tcPr>
          <w:p w14:paraId="4EF34A09" w14:textId="77777777" w:rsidR="004F2316" w:rsidRDefault="004F2316" w:rsidP="00D46D62">
            <w:pPr>
              <w:pStyle w:val="NormalWeb"/>
              <w:jc w:val="center"/>
            </w:pPr>
            <w:r>
              <w:t>0%</w:t>
            </w:r>
          </w:p>
        </w:tc>
        <w:tc>
          <w:tcPr>
            <w:tcW w:w="0" w:type="auto"/>
            <w:hideMark/>
          </w:tcPr>
          <w:p w14:paraId="666C2272" w14:textId="77777777" w:rsidR="004F2316" w:rsidRDefault="004F2316" w:rsidP="00D46D62">
            <w:pPr>
              <w:pStyle w:val="NormalWeb"/>
              <w:jc w:val="center"/>
            </w:pPr>
            <w:r>
              <w:t>0%</w:t>
            </w:r>
          </w:p>
        </w:tc>
        <w:tc>
          <w:tcPr>
            <w:tcW w:w="0" w:type="auto"/>
            <w:hideMark/>
          </w:tcPr>
          <w:p w14:paraId="5D724DD2" w14:textId="77777777" w:rsidR="004F2316" w:rsidRDefault="004F2316" w:rsidP="00D46D62">
            <w:pPr>
              <w:pStyle w:val="NormalWeb"/>
              <w:jc w:val="center"/>
            </w:pPr>
            <w:r>
              <w:t>0%</w:t>
            </w:r>
          </w:p>
        </w:tc>
      </w:tr>
      <w:tr w:rsidR="004F2316" w:rsidRPr="00D61478" w14:paraId="4DD8CD19"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shd w:val="clear" w:color="auto" w:fill="FDE9D9" w:themeFill="accent6" w:themeFillTint="33"/>
            <w:hideMark/>
          </w:tcPr>
          <w:p w14:paraId="47EB493D" w14:textId="77777777" w:rsidR="004F2316" w:rsidRPr="00D61478" w:rsidRDefault="004F2316" w:rsidP="00D46D62">
            <w:pPr>
              <w:pStyle w:val="NormalWeb"/>
              <w:rPr>
                <w:b/>
                <w:bCs/>
              </w:rPr>
            </w:pPr>
            <w:r w:rsidRPr="00D61478">
              <w:rPr>
                <w:b/>
                <w:bCs/>
              </w:rPr>
              <w:t>Total</w:t>
            </w:r>
          </w:p>
        </w:tc>
        <w:tc>
          <w:tcPr>
            <w:tcW w:w="0" w:type="auto"/>
            <w:shd w:val="clear" w:color="auto" w:fill="FDE9D9" w:themeFill="accent6" w:themeFillTint="33"/>
            <w:hideMark/>
          </w:tcPr>
          <w:p w14:paraId="28658E3D" w14:textId="77777777" w:rsidR="004F2316" w:rsidRPr="00D61478" w:rsidRDefault="004F2316" w:rsidP="00D46D62">
            <w:pPr>
              <w:pStyle w:val="NormalWeb"/>
              <w:jc w:val="center"/>
              <w:rPr>
                <w:b/>
                <w:bCs/>
              </w:rPr>
            </w:pPr>
            <w:r w:rsidRPr="00D61478">
              <w:rPr>
                <w:b/>
                <w:bCs/>
              </w:rPr>
              <w:t>22,047</w:t>
            </w:r>
          </w:p>
        </w:tc>
        <w:tc>
          <w:tcPr>
            <w:tcW w:w="0" w:type="auto"/>
            <w:shd w:val="clear" w:color="auto" w:fill="FDE9D9" w:themeFill="accent6" w:themeFillTint="33"/>
            <w:hideMark/>
          </w:tcPr>
          <w:p w14:paraId="5B0E9546" w14:textId="77777777" w:rsidR="004F2316" w:rsidRPr="00D61478" w:rsidRDefault="004F2316" w:rsidP="00D46D62">
            <w:pPr>
              <w:pStyle w:val="NormalWeb"/>
              <w:jc w:val="center"/>
              <w:rPr>
                <w:b/>
                <w:bCs/>
              </w:rPr>
            </w:pPr>
            <w:r w:rsidRPr="00D61478">
              <w:rPr>
                <w:b/>
                <w:bCs/>
              </w:rPr>
              <w:t>3,776</w:t>
            </w:r>
          </w:p>
        </w:tc>
        <w:tc>
          <w:tcPr>
            <w:tcW w:w="0" w:type="auto"/>
            <w:shd w:val="clear" w:color="auto" w:fill="FDE9D9" w:themeFill="accent6" w:themeFillTint="33"/>
            <w:hideMark/>
          </w:tcPr>
          <w:p w14:paraId="59817379" w14:textId="77777777" w:rsidR="004F2316" w:rsidRPr="00D61478" w:rsidRDefault="004F2316" w:rsidP="00D46D62">
            <w:pPr>
              <w:pStyle w:val="NormalWeb"/>
              <w:jc w:val="center"/>
              <w:rPr>
                <w:b/>
                <w:bCs/>
              </w:rPr>
            </w:pPr>
            <w:r w:rsidRPr="00D61478">
              <w:rPr>
                <w:b/>
                <w:bCs/>
              </w:rPr>
              <w:t>438</w:t>
            </w:r>
          </w:p>
        </w:tc>
        <w:tc>
          <w:tcPr>
            <w:tcW w:w="0" w:type="auto"/>
            <w:shd w:val="clear" w:color="auto" w:fill="FDE9D9" w:themeFill="accent6" w:themeFillTint="33"/>
            <w:hideMark/>
          </w:tcPr>
          <w:p w14:paraId="5637C904" w14:textId="77777777" w:rsidR="004F2316" w:rsidRPr="00D61478" w:rsidRDefault="004F2316" w:rsidP="00D46D62">
            <w:pPr>
              <w:pStyle w:val="NormalWeb"/>
              <w:jc w:val="center"/>
              <w:rPr>
                <w:b/>
                <w:bCs/>
              </w:rPr>
            </w:pPr>
            <w:r w:rsidRPr="00D61478">
              <w:rPr>
                <w:b/>
                <w:bCs/>
              </w:rPr>
              <w:t>155</w:t>
            </w:r>
          </w:p>
        </w:tc>
        <w:tc>
          <w:tcPr>
            <w:tcW w:w="0" w:type="auto"/>
            <w:shd w:val="clear" w:color="auto" w:fill="FDE9D9" w:themeFill="accent6" w:themeFillTint="33"/>
            <w:hideMark/>
          </w:tcPr>
          <w:p w14:paraId="3527730C" w14:textId="77777777" w:rsidR="004F2316" w:rsidRPr="00D61478" w:rsidRDefault="004F2316" w:rsidP="00D46D62">
            <w:pPr>
              <w:pStyle w:val="NormalWeb"/>
              <w:jc w:val="center"/>
              <w:rPr>
                <w:b/>
                <w:bCs/>
              </w:rPr>
            </w:pPr>
            <w:r w:rsidRPr="00D61478">
              <w:rPr>
                <w:b/>
                <w:bCs/>
              </w:rPr>
              <w:t>26,416</w:t>
            </w:r>
          </w:p>
        </w:tc>
        <w:tc>
          <w:tcPr>
            <w:tcW w:w="0" w:type="auto"/>
            <w:shd w:val="clear" w:color="auto" w:fill="FDE9D9" w:themeFill="accent6" w:themeFillTint="33"/>
            <w:hideMark/>
          </w:tcPr>
          <w:p w14:paraId="45756FF9" w14:textId="77777777" w:rsidR="004F2316" w:rsidRPr="00D61478" w:rsidRDefault="004F2316" w:rsidP="00D46D62">
            <w:pPr>
              <w:pStyle w:val="NormalWeb"/>
              <w:jc w:val="center"/>
              <w:rPr>
                <w:b/>
                <w:bCs/>
              </w:rPr>
            </w:pPr>
            <w:r w:rsidRPr="00D61478">
              <w:rPr>
                <w:b/>
                <w:bCs/>
              </w:rPr>
              <w:t>14%</w:t>
            </w:r>
          </w:p>
        </w:tc>
        <w:tc>
          <w:tcPr>
            <w:tcW w:w="0" w:type="auto"/>
            <w:shd w:val="clear" w:color="auto" w:fill="FDE9D9" w:themeFill="accent6" w:themeFillTint="33"/>
            <w:hideMark/>
          </w:tcPr>
          <w:p w14:paraId="45556A6A" w14:textId="77777777" w:rsidR="004F2316" w:rsidRPr="00D61478" w:rsidRDefault="004F2316" w:rsidP="00D46D62">
            <w:pPr>
              <w:pStyle w:val="NormalWeb"/>
              <w:jc w:val="center"/>
              <w:rPr>
                <w:b/>
                <w:bCs/>
              </w:rPr>
            </w:pPr>
            <w:r w:rsidRPr="00D61478">
              <w:rPr>
                <w:b/>
                <w:bCs/>
              </w:rPr>
              <w:t>2%</w:t>
            </w:r>
          </w:p>
        </w:tc>
        <w:tc>
          <w:tcPr>
            <w:tcW w:w="0" w:type="auto"/>
            <w:shd w:val="clear" w:color="auto" w:fill="FDE9D9" w:themeFill="accent6" w:themeFillTint="33"/>
            <w:hideMark/>
          </w:tcPr>
          <w:p w14:paraId="78E03EDE" w14:textId="77777777" w:rsidR="004F2316" w:rsidRPr="00D61478" w:rsidRDefault="004F2316" w:rsidP="00D46D62">
            <w:pPr>
              <w:pStyle w:val="NormalWeb"/>
              <w:jc w:val="center"/>
              <w:rPr>
                <w:b/>
                <w:bCs/>
              </w:rPr>
            </w:pPr>
            <w:r w:rsidRPr="00D61478">
              <w:rPr>
                <w:b/>
                <w:bCs/>
              </w:rPr>
              <w:t>1%</w:t>
            </w:r>
          </w:p>
        </w:tc>
      </w:tr>
    </w:tbl>
    <w:p w14:paraId="11411B11" w14:textId="77777777" w:rsidR="004F2316" w:rsidRDefault="004F2316" w:rsidP="004F2316">
      <w:pPr>
        <w:pStyle w:val="CDIfootnotes"/>
        <w:rPr>
          <w:lang w:val="en-GB"/>
        </w:rPr>
      </w:pPr>
      <w:r>
        <w:rPr>
          <w:lang w:val="en-GB"/>
        </w:rPr>
        <w:t>a</w:t>
      </w:r>
      <w:r>
        <w:rPr>
          <w:lang w:val="en-GB"/>
        </w:rPr>
        <w:tab/>
        <w:t>Source: NINDSS, extract from 14 September 2021 for notifications to 29 August 2021.</w:t>
      </w:r>
    </w:p>
    <w:p w14:paraId="09B80CA2" w14:textId="77777777" w:rsidR="004F2316" w:rsidRDefault="004F2316" w:rsidP="004F2316">
      <w:pPr>
        <w:pStyle w:val="CDIfootnotes"/>
        <w:rPr>
          <w:lang w:val="en-GB"/>
        </w:rPr>
      </w:pPr>
      <w:r>
        <w:rPr>
          <w:lang w:val="en-GB"/>
        </w:rPr>
        <w:t>b</w:t>
      </w:r>
      <w:r>
        <w:rPr>
          <w:lang w:val="en-GB"/>
        </w:rPr>
        <w:tab/>
        <w:t xml:space="preserve">‘Not severe’ includes all cases that were not hospitalised, admitted to </w:t>
      </w:r>
      <w:proofErr w:type="gramStart"/>
      <w:r>
        <w:rPr>
          <w:lang w:val="en-GB"/>
        </w:rPr>
        <w:t>ICU</w:t>
      </w:r>
      <w:proofErr w:type="gramEnd"/>
      <w:r>
        <w:rPr>
          <w:lang w:val="en-GB"/>
        </w:rPr>
        <w:t xml:space="preserve"> or died.</w:t>
      </w:r>
    </w:p>
    <w:p w14:paraId="08E82F49" w14:textId="77777777" w:rsidR="004F2316" w:rsidRDefault="004F2316" w:rsidP="00A3417C"/>
    <w:p w14:paraId="6EA009E8" w14:textId="77777777" w:rsidR="00612295" w:rsidRDefault="00612295" w:rsidP="00A3417C">
      <w:r>
        <w:t>In the year to date, there were 777 COVID-19 cases admitted to ICUs participating in the sentinel surveillance system, Short Period Incidence Study of Severe Acute Respiratory Infection (SPRINT-SARI),</w:t>
      </w:r>
      <w:r>
        <w:rPr>
          <w:vertAlign w:val="superscript"/>
        </w:rPr>
        <w:t>5</w:t>
      </w:r>
      <w:r>
        <w:t xml:space="preserve"> with 260 of these admitted during this reporting period (30 August – 12 September 2021). </w:t>
      </w:r>
    </w:p>
    <w:p w14:paraId="0CA8F8EE" w14:textId="77777777" w:rsidR="00612295" w:rsidRPr="00A3417C" w:rsidRDefault="00612295" w:rsidP="00A3417C">
      <w:pPr>
        <w:pStyle w:val="Heading3"/>
      </w:pPr>
      <w:r w:rsidRPr="00A3417C">
        <w:t xml:space="preserve">Risk factors for severe disease </w:t>
      </w:r>
    </w:p>
    <w:p w14:paraId="49626873" w14:textId="77777777" w:rsidR="00612295" w:rsidRDefault="00612295" w:rsidP="00A3417C">
      <w:r>
        <w:t xml:space="preserve">The proportion of cases who were admitted to hospital increased as a person’s age increased (Table 5). </w:t>
      </w:r>
    </w:p>
    <w:p w14:paraId="5F4DE123" w14:textId="77777777" w:rsidR="00612295" w:rsidRDefault="00612295" w:rsidP="00A3417C">
      <w:r>
        <w:t>Comorbidity data extracted from SPRINT-SARI reflect the sickest patients with COVID-19 managed in ICU; data are therefore not generalisable to all cases (Table 6). In patients admitted to ICU with COVID-19 since 1 February 2021, the most prevalent comorbidity was obesity (a body mass index of &gt; 30 or weight exceeding 120 kg), followed by diabetes. Of those patients aged 18 years and older admitted to ICU this year, 61% (362/595) had at least one comorbidity; 39% of patients (233/595) had none of the listed comorbidities recorded.</w:t>
      </w:r>
    </w:p>
    <w:p w14:paraId="49C2E1FE" w14:textId="77777777" w:rsidR="00612295" w:rsidRPr="00A3417C" w:rsidRDefault="00612295" w:rsidP="00A3417C">
      <w:pPr>
        <w:pStyle w:val="Heading4"/>
      </w:pPr>
      <w:r w:rsidRPr="00A3417C">
        <w:t xml:space="preserve">COVID-19 deaths </w:t>
      </w:r>
    </w:p>
    <w:p w14:paraId="5464A4CA" w14:textId="539CD34B" w:rsidR="00612295" w:rsidRDefault="00612295" w:rsidP="00A3417C">
      <w:r>
        <w:t xml:space="preserve">In the past two weeks, there were 94 deaths associated with COVID-19: 89 from New South Wales and five from Victoria. The crude case fatality rate (CFR) for all cases reported in Australia in 2021 to date was 0.4%, with 189 deaths reported this year (Table 7). For the epidemic to date, the CFR was at 1.5%. </w:t>
      </w:r>
    </w:p>
    <w:p w14:paraId="640BA22B" w14:textId="77777777" w:rsidR="004F2316" w:rsidRPr="00D61478" w:rsidRDefault="004F2316" w:rsidP="004F2316">
      <w:pPr>
        <w:pStyle w:val="CDIFigures"/>
      </w:pPr>
      <w:r w:rsidRPr="00D61478">
        <w:rPr>
          <w:rStyle w:val="Strong"/>
          <w:b/>
          <w:bCs w:val="0"/>
        </w:rPr>
        <w:lastRenderedPageBreak/>
        <w:t>Table 6: Comorbidities for adult COVID-19 cases (age ≥ 18 years) amongst those admitted to ICU, Australia, 1 February – 12 September 2021</w:t>
      </w:r>
      <w:r w:rsidRPr="00D61478">
        <w:rPr>
          <w:rStyle w:val="Strong"/>
          <w:b/>
          <w:bCs w:val="0"/>
          <w:vertAlign w:val="superscript"/>
        </w:rPr>
        <w:t>a</w:t>
      </w:r>
    </w:p>
    <w:tbl>
      <w:tblPr>
        <w:tblStyle w:val="CDI-StandardTable"/>
        <w:tblW w:w="0" w:type="auto"/>
        <w:tblLook w:val="04A0" w:firstRow="1" w:lastRow="0" w:firstColumn="1" w:lastColumn="0" w:noHBand="0" w:noVBand="1"/>
        <w:tblDescription w:val="A table summarising the incidence of comorbidities among adult COVID-19 cases admitted to ICU from 1 February 2021 to 12 September 2021. Among such cases, the most frequent comorbidities have been obesity (33%) and diabetes (29%). Almost two-fifths of this year’s ICU cases (39%) did not have any listed comorbidities; 26% of ICU cases had two or more comorbidities, with 9% (55 cases) having three or more comorbidities."/>
      </w:tblPr>
      <w:tblGrid>
        <w:gridCol w:w="5130"/>
        <w:gridCol w:w="5130"/>
      </w:tblGrid>
      <w:tr w:rsidR="004F2316" w:rsidRPr="00D61478" w14:paraId="1FE63D3B" w14:textId="77777777" w:rsidTr="00361D47">
        <w:trPr>
          <w:cnfStyle w:val="100000000000" w:firstRow="1" w:lastRow="0" w:firstColumn="0" w:lastColumn="0" w:oddVBand="0" w:evenVBand="0" w:oddHBand="0" w:evenHBand="0" w:firstRowFirstColumn="0" w:firstRowLastColumn="0" w:lastRowFirstColumn="0" w:lastRowLastColumn="0"/>
        </w:trPr>
        <w:tc>
          <w:tcPr>
            <w:tcW w:w="5130" w:type="dxa"/>
            <w:tcBorders>
              <w:right w:val="single" w:sz="2" w:space="0" w:color="FFFFFF" w:themeColor="background1"/>
            </w:tcBorders>
            <w:hideMark/>
          </w:tcPr>
          <w:p w14:paraId="2D592BD5" w14:textId="77777777" w:rsidR="004F2316" w:rsidRPr="00D61478" w:rsidRDefault="004F2316" w:rsidP="00D46D62">
            <w:pPr>
              <w:pStyle w:val="NormalWeb"/>
              <w:rPr>
                <w:color w:val="FFFFFF" w:themeColor="background1"/>
              </w:rPr>
            </w:pPr>
            <w:r w:rsidRPr="00D61478">
              <w:rPr>
                <w:color w:val="FFFFFF" w:themeColor="background1"/>
              </w:rPr>
              <w:t>Comorbidity</w:t>
            </w:r>
          </w:p>
        </w:tc>
        <w:tc>
          <w:tcPr>
            <w:tcW w:w="5130" w:type="dxa"/>
            <w:tcBorders>
              <w:left w:val="single" w:sz="2" w:space="0" w:color="FFFFFF" w:themeColor="background1"/>
            </w:tcBorders>
            <w:hideMark/>
          </w:tcPr>
          <w:p w14:paraId="50F3468C" w14:textId="77777777" w:rsidR="004F2316" w:rsidRPr="00D61478" w:rsidRDefault="004F2316" w:rsidP="00D46D62">
            <w:pPr>
              <w:pStyle w:val="NormalWeb"/>
              <w:jc w:val="center"/>
              <w:rPr>
                <w:color w:val="FFFFFF" w:themeColor="background1"/>
              </w:rPr>
            </w:pPr>
            <w:r w:rsidRPr="00D61478">
              <w:rPr>
                <w:color w:val="FFFFFF" w:themeColor="background1"/>
              </w:rPr>
              <w:t xml:space="preserve">ICU </w:t>
            </w:r>
            <w:proofErr w:type="spellStart"/>
            <w:r w:rsidRPr="00D61478">
              <w:rPr>
                <w:color w:val="FFFFFF" w:themeColor="background1"/>
              </w:rPr>
              <w:t>cases</w:t>
            </w:r>
            <w:r w:rsidRPr="00D61478">
              <w:rPr>
                <w:color w:val="FFFFFF" w:themeColor="background1"/>
                <w:vertAlign w:val="superscript"/>
              </w:rPr>
              <w:t>a</w:t>
            </w:r>
            <w:proofErr w:type="spellEnd"/>
            <w:r w:rsidRPr="00D61478">
              <w:rPr>
                <w:color w:val="FFFFFF" w:themeColor="background1"/>
              </w:rPr>
              <w:t xml:space="preserve"> (n = 758) (%)</w:t>
            </w:r>
          </w:p>
        </w:tc>
      </w:tr>
      <w:tr w:rsidR="004F2316" w14:paraId="468E824B" w14:textId="77777777" w:rsidTr="00361D47">
        <w:tblPrEx>
          <w:tblCellMar>
            <w:top w:w="57" w:type="dxa"/>
            <w:left w:w="57" w:type="dxa"/>
            <w:bottom w:w="57" w:type="dxa"/>
            <w:right w:w="57" w:type="dxa"/>
          </w:tblCellMar>
        </w:tblPrEx>
        <w:tc>
          <w:tcPr>
            <w:tcW w:w="5130" w:type="dxa"/>
            <w:hideMark/>
          </w:tcPr>
          <w:p w14:paraId="5EC7C823" w14:textId="77777777" w:rsidR="004F2316" w:rsidRDefault="004F2316" w:rsidP="00D46D62">
            <w:pPr>
              <w:pStyle w:val="NormalWeb"/>
            </w:pPr>
            <w:r>
              <w:t>Cardiac disease (n = 585)</w:t>
            </w:r>
          </w:p>
        </w:tc>
        <w:tc>
          <w:tcPr>
            <w:tcW w:w="5130" w:type="dxa"/>
            <w:hideMark/>
          </w:tcPr>
          <w:p w14:paraId="3155E066" w14:textId="77777777" w:rsidR="004F2316" w:rsidRDefault="004F2316" w:rsidP="00D46D62">
            <w:pPr>
              <w:pStyle w:val="NormalWeb"/>
              <w:jc w:val="center"/>
            </w:pPr>
            <w:r>
              <w:t>55 (9)</w:t>
            </w:r>
          </w:p>
        </w:tc>
      </w:tr>
      <w:tr w:rsidR="004F2316" w14:paraId="11953074"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64295DE5" w14:textId="77777777" w:rsidR="004F2316" w:rsidRDefault="004F2316" w:rsidP="00D46D62">
            <w:pPr>
              <w:pStyle w:val="NormalWeb"/>
            </w:pPr>
            <w:r>
              <w:t xml:space="preserve">Chronic respiratory condition (n = 586) </w:t>
            </w:r>
            <w:r w:rsidRPr="00D61478">
              <w:rPr>
                <w:vertAlign w:val="superscript"/>
              </w:rPr>
              <w:t>b</w:t>
            </w:r>
          </w:p>
        </w:tc>
        <w:tc>
          <w:tcPr>
            <w:tcW w:w="5130" w:type="dxa"/>
            <w:hideMark/>
          </w:tcPr>
          <w:p w14:paraId="2204148D" w14:textId="77777777" w:rsidR="004F2316" w:rsidRDefault="004F2316" w:rsidP="00D46D62">
            <w:pPr>
              <w:pStyle w:val="NormalWeb"/>
              <w:jc w:val="center"/>
            </w:pPr>
            <w:r>
              <w:t>80 (14)</w:t>
            </w:r>
          </w:p>
        </w:tc>
      </w:tr>
      <w:tr w:rsidR="004F2316" w14:paraId="7E6ADF5F" w14:textId="77777777" w:rsidTr="00361D47">
        <w:tblPrEx>
          <w:tblCellMar>
            <w:top w:w="57" w:type="dxa"/>
            <w:left w:w="57" w:type="dxa"/>
            <w:bottom w:w="57" w:type="dxa"/>
            <w:right w:w="57" w:type="dxa"/>
          </w:tblCellMar>
        </w:tblPrEx>
        <w:tc>
          <w:tcPr>
            <w:tcW w:w="5130" w:type="dxa"/>
            <w:hideMark/>
          </w:tcPr>
          <w:p w14:paraId="237093B4" w14:textId="77777777" w:rsidR="004F2316" w:rsidRDefault="004F2316" w:rsidP="00D46D62">
            <w:pPr>
              <w:pStyle w:val="NormalWeb"/>
            </w:pPr>
            <w:r>
              <w:t>Diabetes (n = 587)</w:t>
            </w:r>
          </w:p>
        </w:tc>
        <w:tc>
          <w:tcPr>
            <w:tcW w:w="5130" w:type="dxa"/>
            <w:hideMark/>
          </w:tcPr>
          <w:p w14:paraId="30DF37C2" w14:textId="77777777" w:rsidR="004F2316" w:rsidRDefault="004F2316" w:rsidP="00D46D62">
            <w:pPr>
              <w:pStyle w:val="NormalWeb"/>
              <w:jc w:val="center"/>
            </w:pPr>
            <w:r>
              <w:t>172 (29)</w:t>
            </w:r>
          </w:p>
        </w:tc>
      </w:tr>
      <w:tr w:rsidR="004F2316" w14:paraId="6924D2B0"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65082DCE" w14:textId="77777777" w:rsidR="004F2316" w:rsidRDefault="004F2316" w:rsidP="00D46D62">
            <w:pPr>
              <w:pStyle w:val="NormalWeb"/>
            </w:pPr>
            <w:r>
              <w:t>Obesity (n = 566)</w:t>
            </w:r>
          </w:p>
        </w:tc>
        <w:tc>
          <w:tcPr>
            <w:tcW w:w="5130" w:type="dxa"/>
            <w:hideMark/>
          </w:tcPr>
          <w:p w14:paraId="05D22011" w14:textId="77777777" w:rsidR="004F2316" w:rsidRDefault="004F2316" w:rsidP="00D46D62">
            <w:pPr>
              <w:pStyle w:val="NormalWeb"/>
              <w:jc w:val="center"/>
            </w:pPr>
            <w:r>
              <w:t>187 (33)</w:t>
            </w:r>
          </w:p>
        </w:tc>
      </w:tr>
      <w:tr w:rsidR="004F2316" w14:paraId="22B2DEC9" w14:textId="77777777" w:rsidTr="00361D47">
        <w:tblPrEx>
          <w:tblCellMar>
            <w:top w:w="57" w:type="dxa"/>
            <w:left w:w="57" w:type="dxa"/>
            <w:bottom w:w="57" w:type="dxa"/>
            <w:right w:w="57" w:type="dxa"/>
          </w:tblCellMar>
        </w:tblPrEx>
        <w:tc>
          <w:tcPr>
            <w:tcW w:w="5130" w:type="dxa"/>
            <w:hideMark/>
          </w:tcPr>
          <w:p w14:paraId="44B391B7" w14:textId="77777777" w:rsidR="004F2316" w:rsidRDefault="004F2316" w:rsidP="00D46D62">
            <w:pPr>
              <w:pStyle w:val="NormalWeb"/>
            </w:pPr>
            <w:r>
              <w:t>Chronic renal disease (n = 584)</w:t>
            </w:r>
          </w:p>
        </w:tc>
        <w:tc>
          <w:tcPr>
            <w:tcW w:w="5130" w:type="dxa"/>
            <w:hideMark/>
          </w:tcPr>
          <w:p w14:paraId="37E9E2E9" w14:textId="77777777" w:rsidR="004F2316" w:rsidRDefault="004F2316" w:rsidP="00D46D62">
            <w:pPr>
              <w:pStyle w:val="NormalWeb"/>
              <w:jc w:val="center"/>
            </w:pPr>
            <w:r>
              <w:t>28 (5)</w:t>
            </w:r>
          </w:p>
        </w:tc>
      </w:tr>
      <w:tr w:rsidR="004F2316" w14:paraId="7EE1B4D4"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43198C34" w14:textId="77777777" w:rsidR="004F2316" w:rsidRDefault="004F2316" w:rsidP="00D46D62">
            <w:pPr>
              <w:pStyle w:val="NormalWeb"/>
            </w:pPr>
            <w:r>
              <w:t>Chronic neurological condition (n = 584)</w:t>
            </w:r>
          </w:p>
        </w:tc>
        <w:tc>
          <w:tcPr>
            <w:tcW w:w="5130" w:type="dxa"/>
            <w:hideMark/>
          </w:tcPr>
          <w:p w14:paraId="46246FCC" w14:textId="77777777" w:rsidR="004F2316" w:rsidRDefault="004F2316" w:rsidP="00D46D62">
            <w:pPr>
              <w:pStyle w:val="NormalWeb"/>
              <w:jc w:val="center"/>
            </w:pPr>
            <w:r>
              <w:t>3 (17)</w:t>
            </w:r>
          </w:p>
        </w:tc>
      </w:tr>
      <w:tr w:rsidR="004F2316" w14:paraId="36D162D8" w14:textId="77777777" w:rsidTr="00361D47">
        <w:tblPrEx>
          <w:tblCellMar>
            <w:top w:w="57" w:type="dxa"/>
            <w:left w:w="57" w:type="dxa"/>
            <w:bottom w:w="57" w:type="dxa"/>
            <w:right w:w="57" w:type="dxa"/>
          </w:tblCellMar>
        </w:tblPrEx>
        <w:tc>
          <w:tcPr>
            <w:tcW w:w="5130" w:type="dxa"/>
            <w:hideMark/>
          </w:tcPr>
          <w:p w14:paraId="33E33369" w14:textId="77777777" w:rsidR="004F2316" w:rsidRDefault="004F2316" w:rsidP="00D46D62">
            <w:pPr>
              <w:pStyle w:val="NormalWeb"/>
            </w:pPr>
            <w:r>
              <w:t>Malignancy (n = 584)</w:t>
            </w:r>
          </w:p>
        </w:tc>
        <w:tc>
          <w:tcPr>
            <w:tcW w:w="5130" w:type="dxa"/>
            <w:hideMark/>
          </w:tcPr>
          <w:p w14:paraId="2E380981" w14:textId="77777777" w:rsidR="004F2316" w:rsidRDefault="004F2316" w:rsidP="00D46D62">
            <w:pPr>
              <w:pStyle w:val="NormalWeb"/>
              <w:jc w:val="center"/>
            </w:pPr>
            <w:r>
              <w:t>23 (4)</w:t>
            </w:r>
          </w:p>
        </w:tc>
      </w:tr>
      <w:tr w:rsidR="004F2316" w14:paraId="71F2A07E"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19C9CF2A" w14:textId="77777777" w:rsidR="004F2316" w:rsidRDefault="004F2316" w:rsidP="00D46D62">
            <w:pPr>
              <w:pStyle w:val="NormalWeb"/>
            </w:pPr>
            <w:r>
              <w:t>Chronic liver disease (n = 585)</w:t>
            </w:r>
          </w:p>
        </w:tc>
        <w:tc>
          <w:tcPr>
            <w:tcW w:w="5130" w:type="dxa"/>
            <w:hideMark/>
          </w:tcPr>
          <w:p w14:paraId="6E1D37CD" w14:textId="77777777" w:rsidR="004F2316" w:rsidRDefault="004F2316" w:rsidP="00D46D62">
            <w:pPr>
              <w:pStyle w:val="NormalWeb"/>
              <w:jc w:val="center"/>
            </w:pPr>
            <w:r>
              <w:t>16 (3)</w:t>
            </w:r>
          </w:p>
        </w:tc>
      </w:tr>
      <w:tr w:rsidR="004F2316" w14:paraId="01D9FBD6" w14:textId="77777777" w:rsidTr="00361D47">
        <w:tblPrEx>
          <w:tblCellMar>
            <w:top w:w="57" w:type="dxa"/>
            <w:left w:w="57" w:type="dxa"/>
            <w:bottom w:w="57" w:type="dxa"/>
            <w:right w:w="57" w:type="dxa"/>
          </w:tblCellMar>
        </w:tblPrEx>
        <w:tc>
          <w:tcPr>
            <w:tcW w:w="5130" w:type="dxa"/>
            <w:hideMark/>
          </w:tcPr>
          <w:p w14:paraId="0403E6B5" w14:textId="77777777" w:rsidR="004F2316" w:rsidRDefault="004F2316" w:rsidP="00D46D62">
            <w:pPr>
              <w:pStyle w:val="NormalWeb"/>
            </w:pPr>
            <w:r>
              <w:t>Immunosuppression (n = 583)</w:t>
            </w:r>
          </w:p>
        </w:tc>
        <w:tc>
          <w:tcPr>
            <w:tcW w:w="5130" w:type="dxa"/>
            <w:hideMark/>
          </w:tcPr>
          <w:p w14:paraId="24B654A5" w14:textId="77777777" w:rsidR="004F2316" w:rsidRDefault="004F2316" w:rsidP="00D46D62">
            <w:pPr>
              <w:pStyle w:val="NormalWeb"/>
              <w:jc w:val="center"/>
            </w:pPr>
            <w:r>
              <w:t>20 (3)</w:t>
            </w:r>
          </w:p>
        </w:tc>
      </w:tr>
      <w:tr w:rsidR="004F2316" w:rsidRPr="00D61478" w14:paraId="473F97B1" w14:textId="77777777" w:rsidTr="00A040E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0260" w:type="dxa"/>
            <w:gridSpan w:val="2"/>
            <w:shd w:val="clear" w:color="auto" w:fill="595959" w:themeFill="text1" w:themeFillTint="A6"/>
            <w:hideMark/>
          </w:tcPr>
          <w:p w14:paraId="229EF592" w14:textId="77777777" w:rsidR="004F2316" w:rsidRPr="00D61478" w:rsidRDefault="004F2316" w:rsidP="00D46D62">
            <w:pPr>
              <w:pStyle w:val="NormalWeb"/>
              <w:jc w:val="center"/>
              <w:rPr>
                <w:b/>
                <w:bCs/>
                <w:color w:val="FFFFFF" w:themeColor="background1"/>
              </w:rPr>
            </w:pPr>
            <w:r w:rsidRPr="00D61478">
              <w:rPr>
                <w:b/>
                <w:bCs/>
                <w:color w:val="FFFFFF" w:themeColor="background1"/>
              </w:rPr>
              <w:t xml:space="preserve">Number of specified comorbidities (n = 595) </w:t>
            </w:r>
            <w:proofErr w:type="spellStart"/>
            <w:proofErr w:type="gramStart"/>
            <w:r w:rsidRPr="00D61478">
              <w:rPr>
                <w:b/>
                <w:bCs/>
                <w:color w:val="FFFFFF" w:themeColor="background1"/>
                <w:vertAlign w:val="superscript"/>
              </w:rPr>
              <w:t>c,d</w:t>
            </w:r>
            <w:proofErr w:type="spellEnd"/>
            <w:proofErr w:type="gramEnd"/>
          </w:p>
        </w:tc>
      </w:tr>
      <w:tr w:rsidR="004F2316" w14:paraId="711C5990" w14:textId="77777777" w:rsidTr="00361D47">
        <w:tblPrEx>
          <w:tblCellMar>
            <w:top w:w="57" w:type="dxa"/>
            <w:left w:w="57" w:type="dxa"/>
            <w:bottom w:w="57" w:type="dxa"/>
            <w:right w:w="57" w:type="dxa"/>
          </w:tblCellMar>
        </w:tblPrEx>
        <w:tc>
          <w:tcPr>
            <w:tcW w:w="5130" w:type="dxa"/>
            <w:hideMark/>
          </w:tcPr>
          <w:p w14:paraId="6DAB2DE0" w14:textId="77777777" w:rsidR="004F2316" w:rsidRDefault="004F2316" w:rsidP="00D46D62">
            <w:pPr>
              <w:pStyle w:val="NormalWeb"/>
            </w:pPr>
            <w:r>
              <w:t>One or more</w:t>
            </w:r>
          </w:p>
        </w:tc>
        <w:tc>
          <w:tcPr>
            <w:tcW w:w="5130" w:type="dxa"/>
            <w:hideMark/>
          </w:tcPr>
          <w:p w14:paraId="5B0BDCA4" w14:textId="77777777" w:rsidR="004F2316" w:rsidRDefault="004F2316" w:rsidP="00D46D62">
            <w:pPr>
              <w:pStyle w:val="NormalWeb"/>
              <w:jc w:val="center"/>
            </w:pPr>
            <w:r>
              <w:t>362 (61)</w:t>
            </w:r>
          </w:p>
        </w:tc>
      </w:tr>
      <w:tr w:rsidR="004F2316" w14:paraId="6F603318"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67A4EF48" w14:textId="77777777" w:rsidR="004F2316" w:rsidRDefault="004F2316" w:rsidP="00D46D62">
            <w:pPr>
              <w:pStyle w:val="NormalWeb"/>
            </w:pPr>
            <w:r>
              <w:t>Two or more</w:t>
            </w:r>
          </w:p>
        </w:tc>
        <w:tc>
          <w:tcPr>
            <w:tcW w:w="5130" w:type="dxa"/>
            <w:hideMark/>
          </w:tcPr>
          <w:p w14:paraId="3D7C94AB" w14:textId="77777777" w:rsidR="004F2316" w:rsidRDefault="004F2316" w:rsidP="00D46D62">
            <w:pPr>
              <w:pStyle w:val="NormalWeb"/>
              <w:jc w:val="center"/>
            </w:pPr>
            <w:r>
              <w:t>152 (26)</w:t>
            </w:r>
          </w:p>
        </w:tc>
      </w:tr>
      <w:tr w:rsidR="004F2316" w14:paraId="6F0213DF" w14:textId="77777777" w:rsidTr="00361D47">
        <w:tblPrEx>
          <w:tblCellMar>
            <w:top w:w="57" w:type="dxa"/>
            <w:left w:w="57" w:type="dxa"/>
            <w:bottom w:w="57" w:type="dxa"/>
            <w:right w:w="57" w:type="dxa"/>
          </w:tblCellMar>
        </w:tblPrEx>
        <w:tc>
          <w:tcPr>
            <w:tcW w:w="5130" w:type="dxa"/>
            <w:hideMark/>
          </w:tcPr>
          <w:p w14:paraId="58950ACA" w14:textId="77777777" w:rsidR="004F2316" w:rsidRDefault="004F2316" w:rsidP="00D46D62">
            <w:pPr>
              <w:pStyle w:val="NormalWeb"/>
            </w:pPr>
            <w:r>
              <w:t>Three or more</w:t>
            </w:r>
          </w:p>
        </w:tc>
        <w:tc>
          <w:tcPr>
            <w:tcW w:w="5130" w:type="dxa"/>
            <w:hideMark/>
          </w:tcPr>
          <w:p w14:paraId="68CBD6F3" w14:textId="77777777" w:rsidR="004F2316" w:rsidRDefault="004F2316" w:rsidP="00D46D62">
            <w:pPr>
              <w:pStyle w:val="NormalWeb"/>
              <w:jc w:val="center"/>
            </w:pPr>
            <w:r>
              <w:t>55 (9)</w:t>
            </w:r>
          </w:p>
        </w:tc>
      </w:tr>
      <w:tr w:rsidR="004F2316" w14:paraId="4741D61D" w14:textId="77777777" w:rsidTr="00361D47">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5130" w:type="dxa"/>
            <w:hideMark/>
          </w:tcPr>
          <w:p w14:paraId="3DC14BEC" w14:textId="77777777" w:rsidR="004F2316" w:rsidRDefault="004F2316" w:rsidP="00D46D62">
            <w:pPr>
              <w:pStyle w:val="NormalWeb"/>
            </w:pPr>
            <w:r>
              <w:t>No comorbidities</w:t>
            </w:r>
          </w:p>
        </w:tc>
        <w:tc>
          <w:tcPr>
            <w:tcW w:w="5130" w:type="dxa"/>
            <w:hideMark/>
          </w:tcPr>
          <w:p w14:paraId="3B8A6497" w14:textId="77777777" w:rsidR="004F2316" w:rsidRDefault="004F2316" w:rsidP="00D46D62">
            <w:pPr>
              <w:pStyle w:val="NormalWeb"/>
              <w:jc w:val="center"/>
            </w:pPr>
            <w:r>
              <w:t>233 (39)</w:t>
            </w:r>
          </w:p>
        </w:tc>
      </w:tr>
    </w:tbl>
    <w:p w14:paraId="43BFE788" w14:textId="77777777" w:rsidR="004F2316" w:rsidRDefault="004F2316" w:rsidP="004F2316">
      <w:pPr>
        <w:pStyle w:val="CDIfootnotes"/>
        <w:rPr>
          <w:lang w:val="en-GB"/>
        </w:rPr>
      </w:pPr>
      <w:r>
        <w:rPr>
          <w:lang w:val="en-GB"/>
        </w:rPr>
        <w:t>a</w:t>
      </w:r>
      <w:r>
        <w:rPr>
          <w:lang w:val="en-GB"/>
        </w:rPr>
        <w:tab/>
        <w:t>Source: SPRINT-SARI, extract from 17 September 2021 for data up to 12 September 2021. Only includes adult cases (≥ 18 years old) and excludes those with missing data on comorbidities or where comorbidity is unknown.</w:t>
      </w:r>
    </w:p>
    <w:p w14:paraId="342233CF" w14:textId="77777777" w:rsidR="004F2316" w:rsidRDefault="004F2316" w:rsidP="004F2316">
      <w:pPr>
        <w:pStyle w:val="CDIfootnotes"/>
        <w:rPr>
          <w:lang w:val="en-GB"/>
        </w:rPr>
      </w:pPr>
      <w:r>
        <w:rPr>
          <w:lang w:val="en-GB"/>
        </w:rPr>
        <w:t>b</w:t>
      </w:r>
      <w:r>
        <w:rPr>
          <w:lang w:val="en-GB"/>
        </w:rPr>
        <w:tab/>
        <w:t>Includes asthma.</w:t>
      </w:r>
    </w:p>
    <w:p w14:paraId="1F2A5927" w14:textId="77777777" w:rsidR="004F2316" w:rsidRDefault="004F2316" w:rsidP="004F2316">
      <w:pPr>
        <w:pStyle w:val="CDIfootnotes"/>
        <w:rPr>
          <w:lang w:val="en-GB"/>
        </w:rPr>
      </w:pPr>
      <w:r>
        <w:rPr>
          <w:lang w:val="en-GB"/>
        </w:rPr>
        <w:t xml:space="preserve">c </w:t>
      </w:r>
      <w:r>
        <w:rPr>
          <w:lang w:val="en-GB"/>
        </w:rPr>
        <w:tab/>
        <w:t xml:space="preserve">Includes chronic respiratory conditions, cardiac disease (excluding hypertension), immunosuppressive condition/therapy, diabetes, obesity, liver disease, renal </w:t>
      </w:r>
      <w:proofErr w:type="gramStart"/>
      <w:r>
        <w:rPr>
          <w:lang w:val="en-GB"/>
        </w:rPr>
        <w:t>disease</w:t>
      </w:r>
      <w:proofErr w:type="gramEnd"/>
      <w:r>
        <w:rPr>
          <w:lang w:val="en-GB"/>
        </w:rPr>
        <w:t xml:space="preserve"> and neurological disorder.</w:t>
      </w:r>
    </w:p>
    <w:p w14:paraId="36AAF58D" w14:textId="77777777" w:rsidR="004F2316" w:rsidRDefault="004F2316" w:rsidP="004F2316">
      <w:pPr>
        <w:pStyle w:val="CDIfootnotes"/>
        <w:rPr>
          <w:lang w:val="en-GB"/>
        </w:rPr>
      </w:pPr>
      <w:r>
        <w:rPr>
          <w:lang w:val="en-GB"/>
        </w:rPr>
        <w:t>d</w:t>
      </w:r>
      <w:r>
        <w:rPr>
          <w:lang w:val="en-GB"/>
        </w:rPr>
        <w:tab/>
        <w:t>Excludes cases where comorbidity data is missing or unknown for all comorbidities.</w:t>
      </w:r>
    </w:p>
    <w:p w14:paraId="6254A4E3" w14:textId="77777777" w:rsidR="00DD3D4E" w:rsidRPr="00D61478" w:rsidRDefault="00DD3D4E" w:rsidP="00DD3D4E">
      <w:pPr>
        <w:pStyle w:val="CDIFigures"/>
      </w:pPr>
      <w:r w:rsidRPr="00D61478">
        <w:rPr>
          <w:rStyle w:val="Strong"/>
          <w:b/>
          <w:bCs w:val="0"/>
        </w:rPr>
        <w:t>Table 7: Deaths associated with COVID-19 by reporting period, Australia, 1 January 2020 – 12 September 2021</w:t>
      </w:r>
      <w:r w:rsidRPr="00D61478">
        <w:rPr>
          <w:rStyle w:val="Strong"/>
          <w:b/>
          <w:bCs w:val="0"/>
          <w:vertAlign w:val="superscript"/>
        </w:rPr>
        <w:t>a</w:t>
      </w:r>
    </w:p>
    <w:tbl>
      <w:tblPr>
        <w:tblStyle w:val="CDI-StandardTable"/>
        <w:tblW w:w="0" w:type="auto"/>
        <w:tblLook w:val="04A0" w:firstRow="1" w:lastRow="0" w:firstColumn="1" w:lastColumn="0" w:noHBand="0" w:noVBand="1"/>
        <w:tblDescription w:val="A table comparing deaths due to COVID-19 in the current two-week reporting period ending 12 September 2021 and for the year to date with deaths during the same period in 2020 (ie., 1 January – 12 September 2020). Ninety-four COVID-19 deaths occurred in the most recent reporting period, out of 22,766 notified cases, corresponding to a case fatality rate of &lt; 1%. There have been 189 COVID-19 deaths out of 46,729 notified cases during the calendar year to date, corresponding to a case fatality rate of &lt; 1% for the year to date. In contrast, there were 824 deaths due to COVID-19 during 1 January to 12 September 2020 (a case fatality rate of 3%), while the epidemic to date has seen a total of 1,098 deaths among 75,139 total cases (a case fatality rate of 1%)."/>
      </w:tblPr>
      <w:tblGrid>
        <w:gridCol w:w="4985"/>
        <w:gridCol w:w="5455"/>
      </w:tblGrid>
      <w:tr w:rsidR="00DD3D4E" w:rsidRPr="00A73957" w14:paraId="2804A905" w14:textId="77777777" w:rsidTr="00D46D62">
        <w:trPr>
          <w:cnfStyle w:val="100000000000" w:firstRow="1" w:lastRow="0" w:firstColumn="0" w:lastColumn="0" w:oddVBand="0" w:evenVBand="0" w:oddHBand="0" w:evenHBand="0" w:firstRowFirstColumn="0" w:firstRowLastColumn="0" w:lastRowFirstColumn="0" w:lastRowLastColumn="0"/>
        </w:trPr>
        <w:tc>
          <w:tcPr>
            <w:tcW w:w="0" w:type="auto"/>
            <w:tcBorders>
              <w:right w:val="single" w:sz="2" w:space="0" w:color="FFFFFF" w:themeColor="background1"/>
            </w:tcBorders>
            <w:hideMark/>
          </w:tcPr>
          <w:p w14:paraId="64468A5B" w14:textId="77777777" w:rsidR="00DD3D4E" w:rsidRPr="00A73957" w:rsidRDefault="00DD3D4E" w:rsidP="00D46D62">
            <w:pPr>
              <w:rPr>
                <w:color w:val="FFFFFF" w:themeColor="background1"/>
                <w:lang w:val="en-GB"/>
              </w:rPr>
            </w:pPr>
          </w:p>
        </w:tc>
        <w:tc>
          <w:tcPr>
            <w:tcW w:w="5455" w:type="dxa"/>
            <w:tcBorders>
              <w:left w:val="single" w:sz="2" w:space="0" w:color="FFFFFF" w:themeColor="background1"/>
            </w:tcBorders>
            <w:hideMark/>
          </w:tcPr>
          <w:p w14:paraId="0136A280" w14:textId="77777777" w:rsidR="00DD3D4E" w:rsidRPr="00A73957" w:rsidRDefault="00DD3D4E" w:rsidP="00D46D62">
            <w:pPr>
              <w:pStyle w:val="NormalWeb"/>
              <w:jc w:val="center"/>
              <w:rPr>
                <w:color w:val="FFFFFF" w:themeColor="background1"/>
                <w:sz w:val="24"/>
                <w:szCs w:val="24"/>
              </w:rPr>
            </w:pPr>
            <w:r w:rsidRPr="00A73957">
              <w:rPr>
                <w:color w:val="FFFFFF" w:themeColor="background1"/>
              </w:rPr>
              <w:t>Number of deaths</w:t>
            </w:r>
          </w:p>
        </w:tc>
      </w:tr>
      <w:tr w:rsidR="00DD3D4E" w14:paraId="377C304B" w14:textId="77777777" w:rsidTr="00D46D62">
        <w:tblPrEx>
          <w:tblCellMar>
            <w:top w:w="57" w:type="dxa"/>
            <w:left w:w="57" w:type="dxa"/>
            <w:bottom w:w="57" w:type="dxa"/>
            <w:right w:w="57" w:type="dxa"/>
          </w:tblCellMar>
        </w:tblPrEx>
        <w:tc>
          <w:tcPr>
            <w:tcW w:w="0" w:type="auto"/>
            <w:hideMark/>
          </w:tcPr>
          <w:p w14:paraId="55D4F836" w14:textId="77777777" w:rsidR="00DD3D4E" w:rsidRDefault="00DD3D4E" w:rsidP="00D46D62">
            <w:pPr>
              <w:pStyle w:val="NormalWeb"/>
            </w:pPr>
            <w:r>
              <w:t>Reporting period 30 August – 12 September 2021</w:t>
            </w:r>
          </w:p>
        </w:tc>
        <w:tc>
          <w:tcPr>
            <w:tcW w:w="5455" w:type="dxa"/>
            <w:hideMark/>
          </w:tcPr>
          <w:p w14:paraId="66431B53" w14:textId="77777777" w:rsidR="00DD3D4E" w:rsidRDefault="00DD3D4E" w:rsidP="00D46D62">
            <w:pPr>
              <w:pStyle w:val="NormalWeb"/>
              <w:jc w:val="center"/>
            </w:pPr>
            <w:r>
              <w:t>94</w:t>
            </w:r>
          </w:p>
        </w:tc>
      </w:tr>
      <w:tr w:rsidR="00DD3D4E" w14:paraId="622F979F"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325591BA" w14:textId="77777777" w:rsidR="00DD3D4E" w:rsidRDefault="00DD3D4E" w:rsidP="00D46D62">
            <w:pPr>
              <w:pStyle w:val="NormalWeb"/>
            </w:pPr>
            <w:r>
              <w:t>Year to date (2021) 1 January – 12 September 2021</w:t>
            </w:r>
          </w:p>
        </w:tc>
        <w:tc>
          <w:tcPr>
            <w:tcW w:w="5455" w:type="dxa"/>
            <w:hideMark/>
          </w:tcPr>
          <w:p w14:paraId="17C4564D" w14:textId="77777777" w:rsidR="00DD3D4E" w:rsidRDefault="00DD3D4E" w:rsidP="00D46D62">
            <w:pPr>
              <w:pStyle w:val="NormalWeb"/>
              <w:jc w:val="center"/>
            </w:pPr>
            <w:r>
              <w:t>189</w:t>
            </w:r>
          </w:p>
        </w:tc>
      </w:tr>
      <w:tr w:rsidR="00DD3D4E" w14:paraId="556B4916" w14:textId="77777777" w:rsidTr="00D46D62">
        <w:tblPrEx>
          <w:tblCellMar>
            <w:top w:w="57" w:type="dxa"/>
            <w:left w:w="57" w:type="dxa"/>
            <w:bottom w:w="57" w:type="dxa"/>
            <w:right w:w="57" w:type="dxa"/>
          </w:tblCellMar>
        </w:tblPrEx>
        <w:tc>
          <w:tcPr>
            <w:tcW w:w="0" w:type="auto"/>
            <w:hideMark/>
          </w:tcPr>
          <w:p w14:paraId="56D88BD2" w14:textId="77777777" w:rsidR="00DD3D4E" w:rsidRDefault="00DD3D4E" w:rsidP="00D46D62">
            <w:pPr>
              <w:pStyle w:val="NormalWeb"/>
            </w:pPr>
            <w:r>
              <w:t>Epidemic to date 1 January 2020 – 12 September 2021</w:t>
            </w:r>
          </w:p>
        </w:tc>
        <w:tc>
          <w:tcPr>
            <w:tcW w:w="5455" w:type="dxa"/>
            <w:hideMark/>
          </w:tcPr>
          <w:p w14:paraId="4C78E80E" w14:textId="77777777" w:rsidR="00DD3D4E" w:rsidRDefault="00DD3D4E" w:rsidP="00D46D62">
            <w:pPr>
              <w:pStyle w:val="NormalWeb"/>
              <w:jc w:val="center"/>
            </w:pPr>
            <w:r>
              <w:t>1,098</w:t>
            </w:r>
          </w:p>
        </w:tc>
      </w:tr>
    </w:tbl>
    <w:p w14:paraId="1332BBC1" w14:textId="77777777" w:rsidR="00361D47" w:rsidRDefault="00DD3D4E" w:rsidP="00361D47">
      <w:pPr>
        <w:pStyle w:val="CDIfootnotes"/>
        <w:rPr>
          <w:lang w:val="en-GB"/>
        </w:rPr>
        <w:sectPr w:rsidR="00361D47" w:rsidSect="00A30C37">
          <w:headerReference w:type="default" r:id="rId12"/>
          <w:footerReference w:type="default" r:id="rId13"/>
          <w:footerReference w:type="first" r:id="rId14"/>
          <w:footnotePr>
            <w:numFmt w:val="lowerRoman"/>
          </w:footnotePr>
          <w:pgSz w:w="11906" w:h="16838"/>
          <w:pgMar w:top="720" w:right="720" w:bottom="1134" w:left="720" w:header="709" w:footer="284" w:gutter="0"/>
          <w:cols w:space="708"/>
          <w:titlePg/>
          <w:docGrid w:linePitch="360"/>
        </w:sectPr>
      </w:pPr>
      <w:r>
        <w:rPr>
          <w:lang w:val="en-GB"/>
        </w:rPr>
        <w:t>a</w:t>
      </w:r>
      <w:r>
        <w:rPr>
          <w:lang w:val="en-GB"/>
        </w:rPr>
        <w:tab/>
        <w:t>Source: NINDSS, extract from 14 September 2021 for notifications to 12 September 2021, based on notification received date.</w:t>
      </w:r>
    </w:p>
    <w:p w14:paraId="125A98DD" w14:textId="2A837C81" w:rsidR="007E3646" w:rsidRDefault="007E3646" w:rsidP="003D48C0">
      <w:pPr>
        <w:pStyle w:val="Heading1"/>
      </w:pPr>
      <w:r>
        <w:rPr>
          <w:noProof/>
        </w:rPr>
        <w:lastRenderedPageBreak/>
        <mc:AlternateContent>
          <mc:Choice Requires="wps">
            <w:drawing>
              <wp:inline distT="0" distB="0" distL="0" distR="0" wp14:anchorId="114C3755" wp14:editId="366A8E57">
                <wp:extent cx="6629400" cy="351130"/>
                <wp:effectExtent l="0" t="0" r="19050" b="1143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351130"/>
                        </a:xfrm>
                        <a:prstGeom prst="rect">
                          <a:avLst/>
                        </a:prstGeom>
                        <a:solidFill>
                          <a:schemeClr val="bg1">
                            <a:lumMod val="95000"/>
                          </a:schemeClr>
                        </a:solidFill>
                        <a:ln w="3175">
                          <a:solidFill>
                            <a:schemeClr val="bg1">
                              <a:lumMod val="65000"/>
                            </a:schemeClr>
                          </a:solidFill>
                          <a:miter lim="800000"/>
                          <a:headEnd/>
                          <a:tailEnd/>
                        </a:ln>
                      </wps:spPr>
                      <wps:txbx>
                        <w:txbxContent>
                          <w:p w14:paraId="18DAFC9E" w14:textId="77777777" w:rsidR="0099623F" w:rsidRPr="003D48C0" w:rsidRDefault="0099623F" w:rsidP="007E3646">
                            <w:pPr>
                              <w:pStyle w:val="Heading1"/>
                              <w:spacing w:before="0" w:after="0" w:line="240" w:lineRule="auto"/>
                            </w:pPr>
                            <w:r w:rsidRPr="003D48C0">
                              <w:t xml:space="preserve">Four-week reporting period (16 August – 12 September 2021) </w:t>
                            </w:r>
                          </w:p>
                          <w:p w14:paraId="7D649608" w14:textId="77777777" w:rsidR="0099623F" w:rsidRDefault="0099623F" w:rsidP="007E3646">
                            <w:pPr>
                              <w:pStyle w:val="Heading1"/>
                              <w:spacing w:before="240" w:line="240" w:lineRule="auto"/>
                            </w:pPr>
                          </w:p>
                        </w:txbxContent>
                      </wps:txbx>
                      <wps:bodyPr rot="0" vert="horz" wrap="square" lIns="91440" tIns="45720" rIns="91440" bIns="45720" anchor="t" anchorCtr="0">
                        <a:noAutofit/>
                      </wps:bodyPr>
                    </wps:wsp>
                  </a:graphicData>
                </a:graphic>
              </wp:inline>
            </w:drawing>
          </mc:Choice>
          <mc:Fallback>
            <w:pict>
              <v:shape w14:anchorId="114C3755" id="_x0000_s1029" type="#_x0000_t202" style="width:522pt;height:27.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" fillcolor="#f2f2f2 [3052]" strokecolor="#a5a5a5 [2092]" strokeweight=".25pt">
                <v:textbox>
                  <w:txbxContent>
                    <w:p w14:paraId="18DAFC9E" w14:textId="77777777" w:rsidR="0099623F" w:rsidRPr="003D48C0" w:rsidRDefault="0099623F" w:rsidP="007E3646">
                      <w:pPr>
                        <w:pStyle w:val="Heading1"/>
                        <w:spacing w:before="0" w:after="0" w:line="240" w:lineRule="auto"/>
                      </w:pPr>
                      <w:r w:rsidRPr="003D48C0">
                        <w:t xml:space="preserve">Four-week reporting period (16 August – 12 September 2021) </w:t>
                      </w:r>
                    </w:p>
                    <w:p w14:paraId="7D649608" w14:textId="77777777" w:rsidR="0099623F" w:rsidRDefault="0099623F" w:rsidP="007E3646">
                      <w:pPr>
                        <w:pStyle w:val="Heading1"/>
                        <w:spacing w:before="240" w:line="240" w:lineRule="auto"/>
                      </w:pPr>
                    </w:p>
                  </w:txbxContent>
                </v:textbox>
                <w10:anchorlock/>
              </v:shape>
            </w:pict>
          </mc:Fallback>
        </mc:AlternateContent>
      </w:r>
    </w:p>
    <w:p w14:paraId="4D585908" w14:textId="77777777" w:rsidR="00612295" w:rsidRPr="003D48C0" w:rsidRDefault="00612295" w:rsidP="003D48C0">
      <w:pPr>
        <w:pStyle w:val="Heading2"/>
      </w:pPr>
      <w:r w:rsidRPr="003D48C0">
        <w:t xml:space="preserve">Genomic surveillance and virology </w:t>
      </w:r>
    </w:p>
    <w:p w14:paraId="515C70E1" w14:textId="77777777" w:rsidR="00612295" w:rsidRPr="003D48C0" w:rsidRDefault="00612295" w:rsidP="003D48C0">
      <w:pPr>
        <w:pStyle w:val="Heading3"/>
        <w:rPr>
          <w:i/>
          <w:iCs/>
        </w:rPr>
      </w:pPr>
      <w:r w:rsidRPr="003D48C0">
        <w:rPr>
          <w:i/>
          <w:iCs/>
        </w:rPr>
        <w:t xml:space="preserve">(Communicable Disease Genomics Network, </w:t>
      </w:r>
      <w:proofErr w:type="spellStart"/>
      <w:r w:rsidRPr="003D48C0">
        <w:rPr>
          <w:i/>
          <w:iCs/>
        </w:rPr>
        <w:t>AusTrakka</w:t>
      </w:r>
      <w:proofErr w:type="spellEnd"/>
      <w:r w:rsidRPr="003D48C0">
        <w:rPr>
          <w:i/>
          <w:iCs/>
        </w:rPr>
        <w:t xml:space="preserve"> and jurisdictional sequencing laboratories) </w:t>
      </w:r>
    </w:p>
    <w:p w14:paraId="626353EF" w14:textId="2BFABCFB" w:rsidR="00612295" w:rsidRDefault="00612295" w:rsidP="003D48C0">
      <w:r>
        <w:t>Nationally, 41% of COVID-19 cases have been sequenced over the duration of the pandemic, based on jurisdictional reporting (Table 8).</w:t>
      </w:r>
      <w:r w:rsidR="00EA5B3B">
        <w:rPr>
          <w:rStyle w:val="FootnoteReference"/>
        </w:rPr>
        <w:footnoteReference w:id="4"/>
      </w:r>
      <w:r>
        <w:t xml:space="preserve"> </w:t>
      </w:r>
    </w:p>
    <w:p w14:paraId="1683135E" w14:textId="77777777" w:rsidR="00D46D62" w:rsidRPr="00A73957" w:rsidRDefault="00D46D62" w:rsidP="00D46D62">
      <w:pPr>
        <w:pStyle w:val="CDIFigures"/>
      </w:pPr>
      <w:r w:rsidRPr="00A73957">
        <w:rPr>
          <w:rStyle w:val="Strong"/>
          <w:b/>
          <w:bCs w:val="0"/>
        </w:rPr>
        <w:t>Table 8: Australian SARS-CoV-2 genome sequences and proportion of positive cases sequenced, 16 August – 12 September 2021 and cumulative to date</w:t>
      </w:r>
      <w:r w:rsidRPr="00A73957">
        <w:t xml:space="preserve"> </w:t>
      </w:r>
    </w:p>
    <w:tbl>
      <w:tblPr>
        <w:tblStyle w:val="CDI-StandardTable"/>
        <w:tblW w:w="0" w:type="auto"/>
        <w:tblLook w:val="04A0" w:firstRow="1" w:lastRow="0" w:firstColumn="1" w:lastColumn="0" w:noHBand="0" w:noVBand="1"/>
        <w:tblDescription w:val="For the latest four-week reporting period, there have been 3,996 SARS-CoV-2 cases sequenced in Australia, corresponding to 13% of positive COVID-19 cases reported during this period. The cumulative total of SARS-CoV-2 cases sequenced in Australia since the start of the epidemic is 28,636 sequences, corresponding to 41% of positive cases during this time. "/>
      </w:tblPr>
      <w:tblGrid>
        <w:gridCol w:w="4395"/>
        <w:gridCol w:w="3035"/>
        <w:gridCol w:w="3036"/>
      </w:tblGrid>
      <w:tr w:rsidR="00D46D62" w:rsidRPr="00A73957" w14:paraId="37AA1265" w14:textId="77777777" w:rsidTr="00D46D62">
        <w:trPr>
          <w:cnfStyle w:val="100000000000" w:firstRow="1" w:lastRow="0" w:firstColumn="0" w:lastColumn="0" w:oddVBand="0" w:evenVBand="0" w:oddHBand="0" w:evenHBand="0" w:firstRowFirstColumn="0" w:firstRowLastColumn="0" w:lastRowFirstColumn="0" w:lastRowLastColumn="0"/>
        </w:trPr>
        <w:tc>
          <w:tcPr>
            <w:tcW w:w="4395" w:type="dxa"/>
            <w:tcBorders>
              <w:right w:val="single" w:sz="2" w:space="0" w:color="FFFFFF" w:themeColor="background1"/>
            </w:tcBorders>
            <w:hideMark/>
          </w:tcPr>
          <w:p w14:paraId="3D8AB7E5" w14:textId="77777777" w:rsidR="00D46D62" w:rsidRPr="00A73957" w:rsidRDefault="00D46D62" w:rsidP="00D46D62">
            <w:pPr>
              <w:pStyle w:val="NormalWeb"/>
              <w:rPr>
                <w:color w:val="FFFFFF" w:themeColor="background1"/>
              </w:rPr>
            </w:pPr>
            <w:r w:rsidRPr="00A73957">
              <w:rPr>
                <w:color w:val="FFFFFF" w:themeColor="background1"/>
              </w:rPr>
              <w:t>Measure</w:t>
            </w:r>
          </w:p>
        </w:tc>
        <w:tc>
          <w:tcPr>
            <w:tcW w:w="3035" w:type="dxa"/>
            <w:tcBorders>
              <w:left w:val="single" w:sz="2" w:space="0" w:color="FFFFFF" w:themeColor="background1"/>
              <w:right w:val="single" w:sz="2" w:space="0" w:color="FFFFFF" w:themeColor="background1"/>
            </w:tcBorders>
            <w:hideMark/>
          </w:tcPr>
          <w:p w14:paraId="0DBD8F41" w14:textId="77777777" w:rsidR="00D46D62" w:rsidRPr="00A73957" w:rsidRDefault="00D46D62" w:rsidP="00D46D62">
            <w:pPr>
              <w:pStyle w:val="NormalWeb"/>
              <w:jc w:val="center"/>
              <w:rPr>
                <w:color w:val="FFFFFF" w:themeColor="background1"/>
              </w:rPr>
            </w:pPr>
            <w:r w:rsidRPr="00A73957">
              <w:rPr>
                <w:color w:val="FFFFFF" w:themeColor="background1"/>
              </w:rPr>
              <w:t>Reporting period 16 August to 12 September 2021</w:t>
            </w:r>
          </w:p>
        </w:tc>
        <w:tc>
          <w:tcPr>
            <w:tcW w:w="3036" w:type="dxa"/>
            <w:tcBorders>
              <w:left w:val="single" w:sz="2" w:space="0" w:color="FFFFFF" w:themeColor="background1"/>
            </w:tcBorders>
            <w:hideMark/>
          </w:tcPr>
          <w:p w14:paraId="3C2D79E5" w14:textId="77777777" w:rsidR="00D46D62" w:rsidRPr="00A73957" w:rsidRDefault="00D46D62" w:rsidP="00D46D62">
            <w:pPr>
              <w:pStyle w:val="NormalWeb"/>
              <w:jc w:val="center"/>
              <w:rPr>
                <w:color w:val="FFFFFF" w:themeColor="background1"/>
              </w:rPr>
            </w:pPr>
            <w:r w:rsidRPr="00A73957">
              <w:rPr>
                <w:color w:val="FFFFFF" w:themeColor="background1"/>
              </w:rPr>
              <w:t>Cumulative 23 January 2020 to 12 September 2021</w:t>
            </w:r>
          </w:p>
        </w:tc>
      </w:tr>
      <w:tr w:rsidR="00D46D62" w14:paraId="13C29013" w14:textId="77777777" w:rsidTr="00D46D62">
        <w:tblPrEx>
          <w:tblCellMar>
            <w:top w:w="57" w:type="dxa"/>
            <w:left w:w="57" w:type="dxa"/>
            <w:bottom w:w="57" w:type="dxa"/>
            <w:right w:w="57" w:type="dxa"/>
          </w:tblCellMar>
        </w:tblPrEx>
        <w:tc>
          <w:tcPr>
            <w:tcW w:w="4395" w:type="dxa"/>
            <w:hideMark/>
          </w:tcPr>
          <w:p w14:paraId="12907C1E" w14:textId="77777777" w:rsidR="00D46D62" w:rsidRDefault="00D46D62" w:rsidP="00D46D62">
            <w:pPr>
              <w:pStyle w:val="NormalWeb"/>
            </w:pPr>
            <w:r>
              <w:t xml:space="preserve">SARS-CoV-2 cases </w:t>
            </w:r>
            <w:proofErr w:type="spellStart"/>
            <w:r>
              <w:t>sequenced</w:t>
            </w:r>
            <w:r w:rsidRPr="00A73957">
              <w:rPr>
                <w:vertAlign w:val="superscript"/>
              </w:rPr>
              <w:t>a</w:t>
            </w:r>
            <w:proofErr w:type="spellEnd"/>
          </w:p>
        </w:tc>
        <w:tc>
          <w:tcPr>
            <w:tcW w:w="3035" w:type="dxa"/>
            <w:hideMark/>
          </w:tcPr>
          <w:p w14:paraId="4BF6530E" w14:textId="77777777" w:rsidR="00D46D62" w:rsidRDefault="00D46D62" w:rsidP="00D46D62">
            <w:pPr>
              <w:pStyle w:val="NormalWeb"/>
              <w:jc w:val="center"/>
            </w:pPr>
            <w:r>
              <w:t>3,996</w:t>
            </w:r>
          </w:p>
        </w:tc>
        <w:tc>
          <w:tcPr>
            <w:tcW w:w="3036" w:type="dxa"/>
            <w:hideMark/>
          </w:tcPr>
          <w:p w14:paraId="43DD16DA" w14:textId="77777777" w:rsidR="00D46D62" w:rsidRDefault="00D46D62" w:rsidP="00D46D62">
            <w:pPr>
              <w:pStyle w:val="NormalWeb"/>
              <w:jc w:val="center"/>
            </w:pPr>
            <w:r>
              <w:t>28,636</w:t>
            </w:r>
          </w:p>
        </w:tc>
      </w:tr>
      <w:tr w:rsidR="00D46D62" w14:paraId="43CC4A40"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4395" w:type="dxa"/>
            <w:hideMark/>
          </w:tcPr>
          <w:p w14:paraId="2A1DEB71" w14:textId="77777777" w:rsidR="00D46D62" w:rsidRDefault="00D46D62" w:rsidP="00D46D62">
            <w:pPr>
              <w:pStyle w:val="NormalWeb"/>
            </w:pPr>
            <w:r>
              <w:t xml:space="preserve">Percentage of positive cases </w:t>
            </w:r>
            <w:proofErr w:type="spellStart"/>
            <w:r>
              <w:t>sequenced</w:t>
            </w:r>
            <w:r w:rsidRPr="00A73957">
              <w:rPr>
                <w:vertAlign w:val="superscript"/>
              </w:rPr>
              <w:t>b</w:t>
            </w:r>
            <w:proofErr w:type="spellEnd"/>
          </w:p>
        </w:tc>
        <w:tc>
          <w:tcPr>
            <w:tcW w:w="3035" w:type="dxa"/>
            <w:hideMark/>
          </w:tcPr>
          <w:p w14:paraId="58DE0CEA" w14:textId="77777777" w:rsidR="00D46D62" w:rsidRDefault="00D46D62" w:rsidP="00D46D62">
            <w:pPr>
              <w:pStyle w:val="NormalWeb"/>
              <w:jc w:val="center"/>
            </w:pPr>
            <w:r>
              <w:t>13%</w:t>
            </w:r>
          </w:p>
        </w:tc>
        <w:tc>
          <w:tcPr>
            <w:tcW w:w="3036" w:type="dxa"/>
            <w:hideMark/>
          </w:tcPr>
          <w:p w14:paraId="59A2560E" w14:textId="77777777" w:rsidR="00D46D62" w:rsidRDefault="00D46D62" w:rsidP="00D46D62">
            <w:pPr>
              <w:pStyle w:val="NormalWeb"/>
              <w:jc w:val="center"/>
            </w:pPr>
            <w:r>
              <w:t>41%</w:t>
            </w:r>
          </w:p>
        </w:tc>
      </w:tr>
    </w:tbl>
    <w:p w14:paraId="0F495A10" w14:textId="77777777" w:rsidR="00D46D62" w:rsidRDefault="00D46D62" w:rsidP="00D46D62">
      <w:pPr>
        <w:pStyle w:val="CDIfootnotes"/>
        <w:rPr>
          <w:lang w:val="en-GB"/>
        </w:rPr>
      </w:pPr>
      <w:r>
        <w:rPr>
          <w:lang w:val="en-GB"/>
        </w:rPr>
        <w:t>a</w:t>
      </w:r>
      <w:r>
        <w:rPr>
          <w:lang w:val="en-GB"/>
        </w:rPr>
        <w:tab/>
        <w:t xml:space="preserve">Based on individual jurisdictional reports of sequences and case numbers. Calculations of the percentage of cases sequenced based on the number of sequences available in </w:t>
      </w:r>
      <w:proofErr w:type="spellStart"/>
      <w:r>
        <w:rPr>
          <w:lang w:val="en-GB"/>
        </w:rPr>
        <w:t>AusTrakka</w:t>
      </w:r>
      <w:proofErr w:type="spellEnd"/>
      <w:r>
        <w:rPr>
          <w:lang w:val="en-GB"/>
        </w:rPr>
        <w:t xml:space="preserve"> may not always be </w:t>
      </w:r>
      <w:proofErr w:type="gramStart"/>
      <w:r>
        <w:rPr>
          <w:lang w:val="en-GB"/>
        </w:rPr>
        <w:t>up-to-date</w:t>
      </w:r>
      <w:proofErr w:type="gramEnd"/>
      <w:r>
        <w:rPr>
          <w:lang w:val="en-GB"/>
        </w:rPr>
        <w:t>, since this may include duplicate samples from cases and may not represent all available sequence data.</w:t>
      </w:r>
    </w:p>
    <w:p w14:paraId="5AA8C006" w14:textId="4F90C263" w:rsidR="00D46D62" w:rsidRDefault="00D46D62" w:rsidP="00D46D62">
      <w:pPr>
        <w:pStyle w:val="CDIfootnotes"/>
        <w:rPr>
          <w:lang w:val="en-GB"/>
        </w:rPr>
      </w:pPr>
      <w:r>
        <w:rPr>
          <w:lang w:val="en-GB"/>
        </w:rPr>
        <w:t>b</w:t>
      </w:r>
      <w:r>
        <w:rPr>
          <w:lang w:val="en-GB"/>
        </w:rPr>
        <w:tab/>
      </w:r>
      <w:proofErr w:type="gramStart"/>
      <w:r>
        <w:rPr>
          <w:lang w:val="en-GB"/>
        </w:rPr>
        <w:t>In</w:t>
      </w:r>
      <w:proofErr w:type="gramEnd"/>
      <w:r>
        <w:rPr>
          <w:lang w:val="en-GB"/>
        </w:rPr>
        <w:t xml:space="preserve"> most jurisdictions, sequencing has been attempted on all suitable samples (one sample per case). </w:t>
      </w:r>
      <w:r w:rsidR="00EA5B3B" w:rsidRPr="00EA5B3B">
        <w:rPr>
          <w:lang w:val="en-GB"/>
        </w:rPr>
        <w:t xml:space="preserve">Sequencing of samples from cases identified in the reporting period may be in process at the time of reporting. Remaining </w:t>
      </w:r>
      <w:proofErr w:type="spellStart"/>
      <w:r w:rsidR="00EA5B3B" w:rsidRPr="00EA5B3B">
        <w:rPr>
          <w:lang w:val="en-GB"/>
        </w:rPr>
        <w:t>unsequenced</w:t>
      </w:r>
      <w:proofErr w:type="spellEnd"/>
      <w:r w:rsidR="00EA5B3B" w:rsidRPr="00EA5B3B">
        <w:rPr>
          <w:lang w:val="en-GB"/>
        </w:rPr>
        <w:t xml:space="preserve"> samples may be due to jurisdictional sequencing strategy, or where samples have been deemed unsuitable for sequencing (typically, because viral loads were too low for sequencing t</w:t>
      </w:r>
      <w:r w:rsidR="00EA5B3B">
        <w:rPr>
          <w:lang w:val="en-GB"/>
        </w:rPr>
        <w:t>o be successful).</w:t>
      </w:r>
    </w:p>
    <w:p w14:paraId="16DB89B0" w14:textId="77777777" w:rsidR="00D46D62" w:rsidRPr="00A73957" w:rsidRDefault="00D46D62" w:rsidP="00D46D62">
      <w:pPr>
        <w:pStyle w:val="CDIFigures"/>
      </w:pPr>
      <w:r w:rsidRPr="00A73957">
        <w:rPr>
          <w:rStyle w:val="Strong"/>
          <w:b/>
          <w:bCs w:val="0"/>
        </w:rPr>
        <w:t xml:space="preserve">Table 9: Australian SARS-CoV-2 genome sequences in </w:t>
      </w:r>
      <w:proofErr w:type="spellStart"/>
      <w:r w:rsidRPr="00A73957">
        <w:rPr>
          <w:rStyle w:val="Strong"/>
          <w:b/>
          <w:bCs w:val="0"/>
        </w:rPr>
        <w:t>AusTrakka</w:t>
      </w:r>
      <w:proofErr w:type="spellEnd"/>
      <w:r w:rsidRPr="00A73957">
        <w:rPr>
          <w:rStyle w:val="Strong"/>
          <w:b/>
          <w:bCs w:val="0"/>
        </w:rPr>
        <w:t xml:space="preserve"> identified as variants of concern, 23 January 2020 – 12 September 2021</w:t>
      </w:r>
    </w:p>
    <w:tbl>
      <w:tblPr>
        <w:tblStyle w:val="CDI-StandardTable"/>
        <w:tblW w:w="0" w:type="auto"/>
        <w:tblCellMar>
          <w:top w:w="57" w:type="dxa"/>
          <w:left w:w="57" w:type="dxa"/>
          <w:bottom w:w="57" w:type="dxa"/>
          <w:right w:w="57" w:type="dxa"/>
        </w:tblCellMar>
        <w:tblLook w:val="04A0" w:firstRow="1" w:lastRow="0" w:firstColumn="1" w:lastColumn="0" w:noHBand="0" w:noVBand="1"/>
        <w:tblDescription w:val="Table 9 summarises the total SARS-CoV-2 genome sequences from each of the variants of concern, B.1.1.7, B.1.351, P.1, B.1.617.1 and B.1.617.2, to 12 September 2021. There are currently 11,044 genome sequences of variant B.1.617.2 (‘Delta’) reported in AusTrakka, 554 sequences of variant B.1.1.7 (‘Alpha’), 129 sequences of variant B.1.617.1 (‘Kappa’), 99 sequences of variant B.1.351 (‘Beta’) and eight sequences of variant P.1 (‘Gamma’). "/>
      </w:tblPr>
      <w:tblGrid>
        <w:gridCol w:w="5220"/>
        <w:gridCol w:w="5220"/>
      </w:tblGrid>
      <w:tr w:rsidR="00D46D62" w:rsidRPr="00C46870" w14:paraId="2E0E0E02" w14:textId="77777777" w:rsidTr="00C46870">
        <w:trPr>
          <w:cnfStyle w:val="100000000000" w:firstRow="1" w:lastRow="0" w:firstColumn="0" w:lastColumn="0" w:oddVBand="0" w:evenVBand="0" w:oddHBand="0" w:evenHBand="0" w:firstRowFirstColumn="0" w:firstRowLastColumn="0" w:lastRowFirstColumn="0" w:lastRowLastColumn="0"/>
        </w:trPr>
        <w:tc>
          <w:tcPr>
            <w:tcW w:w="5220" w:type="dxa"/>
            <w:tcBorders>
              <w:right w:val="single" w:sz="2" w:space="0" w:color="FFFFFF" w:themeColor="background1"/>
            </w:tcBorders>
            <w:hideMark/>
          </w:tcPr>
          <w:p w14:paraId="7F3DE0CD" w14:textId="77777777" w:rsidR="00D46D62" w:rsidRPr="00C46870" w:rsidRDefault="00D46D62" w:rsidP="00361D47">
            <w:pPr>
              <w:pStyle w:val="NormalWeb"/>
              <w:rPr>
                <w:color w:val="FFFFFF" w:themeColor="background1"/>
                <w:sz w:val="18"/>
                <w:szCs w:val="18"/>
              </w:rPr>
            </w:pPr>
            <w:r w:rsidRPr="00C46870">
              <w:rPr>
                <w:color w:val="FFFFFF" w:themeColor="background1"/>
                <w:sz w:val="18"/>
                <w:szCs w:val="18"/>
              </w:rPr>
              <w:t>VOC lineage</w:t>
            </w:r>
          </w:p>
        </w:tc>
        <w:tc>
          <w:tcPr>
            <w:tcW w:w="5220" w:type="dxa"/>
            <w:tcBorders>
              <w:left w:val="single" w:sz="2" w:space="0" w:color="FFFFFF" w:themeColor="background1"/>
            </w:tcBorders>
            <w:hideMark/>
          </w:tcPr>
          <w:p w14:paraId="03E61DB3" w14:textId="77777777" w:rsidR="00D46D62" w:rsidRPr="00C46870" w:rsidRDefault="00D46D62" w:rsidP="00361D47">
            <w:pPr>
              <w:pStyle w:val="NormalWeb"/>
              <w:jc w:val="center"/>
              <w:rPr>
                <w:color w:val="FFFFFF" w:themeColor="background1"/>
                <w:sz w:val="18"/>
                <w:szCs w:val="18"/>
              </w:rPr>
            </w:pPr>
            <w:r w:rsidRPr="00C46870">
              <w:rPr>
                <w:color w:val="FFFFFF" w:themeColor="background1"/>
                <w:sz w:val="18"/>
                <w:szCs w:val="18"/>
              </w:rPr>
              <w:t>Number of samples</w:t>
            </w:r>
          </w:p>
        </w:tc>
      </w:tr>
      <w:tr w:rsidR="00D46D62" w:rsidRPr="00C46870" w14:paraId="49ED0D24" w14:textId="77777777" w:rsidTr="00C46870">
        <w:tc>
          <w:tcPr>
            <w:tcW w:w="5220" w:type="dxa"/>
            <w:hideMark/>
          </w:tcPr>
          <w:p w14:paraId="6C3C1C1F" w14:textId="77777777" w:rsidR="00D46D62" w:rsidRPr="00C46870" w:rsidRDefault="00D46D62" w:rsidP="00361D47">
            <w:pPr>
              <w:pStyle w:val="NormalWeb"/>
              <w:rPr>
                <w:sz w:val="18"/>
                <w:szCs w:val="18"/>
              </w:rPr>
            </w:pPr>
            <w:r w:rsidRPr="00C46870">
              <w:rPr>
                <w:sz w:val="18"/>
                <w:szCs w:val="18"/>
              </w:rPr>
              <w:t>B.1.1.7 (Alpha)</w:t>
            </w:r>
          </w:p>
        </w:tc>
        <w:tc>
          <w:tcPr>
            <w:tcW w:w="5220" w:type="dxa"/>
            <w:hideMark/>
          </w:tcPr>
          <w:p w14:paraId="590FB058" w14:textId="77777777" w:rsidR="00D46D62" w:rsidRPr="00C46870" w:rsidRDefault="00D46D62" w:rsidP="00361D47">
            <w:pPr>
              <w:pStyle w:val="NormalWeb"/>
              <w:jc w:val="center"/>
              <w:rPr>
                <w:sz w:val="18"/>
                <w:szCs w:val="18"/>
              </w:rPr>
            </w:pPr>
            <w:r w:rsidRPr="00C46870">
              <w:rPr>
                <w:sz w:val="18"/>
                <w:szCs w:val="18"/>
              </w:rPr>
              <w:t>554</w:t>
            </w:r>
          </w:p>
        </w:tc>
      </w:tr>
      <w:tr w:rsidR="00D46D62" w:rsidRPr="00C46870" w14:paraId="577DA8F5" w14:textId="77777777" w:rsidTr="00C46870">
        <w:trPr>
          <w:cnfStyle w:val="000000010000" w:firstRow="0" w:lastRow="0" w:firstColumn="0" w:lastColumn="0" w:oddVBand="0" w:evenVBand="0" w:oddHBand="0" w:evenHBand="1" w:firstRowFirstColumn="0" w:firstRowLastColumn="0" w:lastRowFirstColumn="0" w:lastRowLastColumn="0"/>
        </w:trPr>
        <w:tc>
          <w:tcPr>
            <w:tcW w:w="5220" w:type="dxa"/>
            <w:hideMark/>
          </w:tcPr>
          <w:p w14:paraId="261DEA82" w14:textId="77777777" w:rsidR="00D46D62" w:rsidRPr="00C46870" w:rsidRDefault="00D46D62" w:rsidP="00361D47">
            <w:pPr>
              <w:pStyle w:val="NormalWeb"/>
              <w:rPr>
                <w:sz w:val="18"/>
                <w:szCs w:val="18"/>
              </w:rPr>
            </w:pPr>
            <w:r w:rsidRPr="00C46870">
              <w:rPr>
                <w:sz w:val="18"/>
                <w:szCs w:val="18"/>
              </w:rPr>
              <w:t>B.1.351 (Beta)</w:t>
            </w:r>
          </w:p>
        </w:tc>
        <w:tc>
          <w:tcPr>
            <w:tcW w:w="5220" w:type="dxa"/>
            <w:hideMark/>
          </w:tcPr>
          <w:p w14:paraId="64BA3B31" w14:textId="77777777" w:rsidR="00D46D62" w:rsidRPr="00C46870" w:rsidRDefault="00D46D62" w:rsidP="00361D47">
            <w:pPr>
              <w:pStyle w:val="NormalWeb"/>
              <w:jc w:val="center"/>
              <w:rPr>
                <w:sz w:val="18"/>
                <w:szCs w:val="18"/>
              </w:rPr>
            </w:pPr>
            <w:r w:rsidRPr="00C46870">
              <w:rPr>
                <w:sz w:val="18"/>
                <w:szCs w:val="18"/>
              </w:rPr>
              <w:t>99</w:t>
            </w:r>
          </w:p>
        </w:tc>
      </w:tr>
      <w:tr w:rsidR="00D46D62" w:rsidRPr="00C46870" w14:paraId="36644550" w14:textId="77777777" w:rsidTr="00C46870">
        <w:tc>
          <w:tcPr>
            <w:tcW w:w="5220" w:type="dxa"/>
            <w:hideMark/>
          </w:tcPr>
          <w:p w14:paraId="0AC796E6" w14:textId="77777777" w:rsidR="00D46D62" w:rsidRPr="00C46870" w:rsidRDefault="00D46D62" w:rsidP="00361D47">
            <w:pPr>
              <w:pStyle w:val="NormalWeb"/>
              <w:rPr>
                <w:sz w:val="18"/>
                <w:szCs w:val="18"/>
              </w:rPr>
            </w:pPr>
            <w:r w:rsidRPr="00C46870">
              <w:rPr>
                <w:sz w:val="18"/>
                <w:szCs w:val="18"/>
              </w:rPr>
              <w:t>P.1 (Gamma)</w:t>
            </w:r>
          </w:p>
        </w:tc>
        <w:tc>
          <w:tcPr>
            <w:tcW w:w="5220" w:type="dxa"/>
            <w:hideMark/>
          </w:tcPr>
          <w:p w14:paraId="25F4AB81" w14:textId="77777777" w:rsidR="00D46D62" w:rsidRPr="00C46870" w:rsidRDefault="00D46D62" w:rsidP="00361D47">
            <w:pPr>
              <w:pStyle w:val="NormalWeb"/>
              <w:jc w:val="center"/>
              <w:rPr>
                <w:sz w:val="18"/>
                <w:szCs w:val="18"/>
              </w:rPr>
            </w:pPr>
            <w:r w:rsidRPr="00C46870">
              <w:rPr>
                <w:sz w:val="18"/>
                <w:szCs w:val="18"/>
              </w:rPr>
              <w:t>8</w:t>
            </w:r>
          </w:p>
        </w:tc>
      </w:tr>
      <w:tr w:rsidR="00D46D62" w:rsidRPr="00C46870" w14:paraId="4CD04968" w14:textId="77777777" w:rsidTr="00C46870">
        <w:trPr>
          <w:cnfStyle w:val="000000010000" w:firstRow="0" w:lastRow="0" w:firstColumn="0" w:lastColumn="0" w:oddVBand="0" w:evenVBand="0" w:oddHBand="0" w:evenHBand="1" w:firstRowFirstColumn="0" w:firstRowLastColumn="0" w:lastRowFirstColumn="0" w:lastRowLastColumn="0"/>
        </w:trPr>
        <w:tc>
          <w:tcPr>
            <w:tcW w:w="5220" w:type="dxa"/>
            <w:hideMark/>
          </w:tcPr>
          <w:p w14:paraId="3FC3D28C" w14:textId="77777777" w:rsidR="00D46D62" w:rsidRPr="00C46870" w:rsidRDefault="00D46D62" w:rsidP="00361D47">
            <w:pPr>
              <w:pStyle w:val="NormalWeb"/>
              <w:rPr>
                <w:sz w:val="18"/>
                <w:szCs w:val="18"/>
              </w:rPr>
            </w:pPr>
            <w:r w:rsidRPr="00C46870">
              <w:rPr>
                <w:sz w:val="18"/>
                <w:szCs w:val="18"/>
              </w:rPr>
              <w:t>B.1.617.1 (Kappa)</w:t>
            </w:r>
          </w:p>
        </w:tc>
        <w:tc>
          <w:tcPr>
            <w:tcW w:w="5220" w:type="dxa"/>
            <w:hideMark/>
          </w:tcPr>
          <w:p w14:paraId="56711F72" w14:textId="77777777" w:rsidR="00D46D62" w:rsidRPr="00C46870" w:rsidRDefault="00D46D62" w:rsidP="00361D47">
            <w:pPr>
              <w:pStyle w:val="NormalWeb"/>
              <w:jc w:val="center"/>
              <w:rPr>
                <w:sz w:val="18"/>
                <w:szCs w:val="18"/>
              </w:rPr>
            </w:pPr>
            <w:r w:rsidRPr="00C46870">
              <w:rPr>
                <w:sz w:val="18"/>
                <w:szCs w:val="18"/>
              </w:rPr>
              <w:t>129</w:t>
            </w:r>
          </w:p>
        </w:tc>
      </w:tr>
      <w:tr w:rsidR="00D46D62" w:rsidRPr="00C46870" w14:paraId="7030CDAC" w14:textId="77777777" w:rsidTr="00C46870">
        <w:tc>
          <w:tcPr>
            <w:tcW w:w="5220" w:type="dxa"/>
            <w:hideMark/>
          </w:tcPr>
          <w:p w14:paraId="6D9CF152" w14:textId="77777777" w:rsidR="00D46D62" w:rsidRPr="00C46870" w:rsidRDefault="00D46D62" w:rsidP="00361D47">
            <w:pPr>
              <w:pStyle w:val="NormalWeb"/>
              <w:rPr>
                <w:sz w:val="18"/>
                <w:szCs w:val="18"/>
              </w:rPr>
            </w:pPr>
            <w:r w:rsidRPr="00C46870">
              <w:rPr>
                <w:sz w:val="18"/>
                <w:szCs w:val="18"/>
              </w:rPr>
              <w:t>B.1.617.2 (Delta)</w:t>
            </w:r>
          </w:p>
        </w:tc>
        <w:tc>
          <w:tcPr>
            <w:tcW w:w="5220" w:type="dxa"/>
            <w:hideMark/>
          </w:tcPr>
          <w:p w14:paraId="38E2CF20" w14:textId="77777777" w:rsidR="00D46D62" w:rsidRPr="00C46870" w:rsidRDefault="00D46D62" w:rsidP="00361D47">
            <w:pPr>
              <w:pStyle w:val="NormalWeb"/>
              <w:jc w:val="center"/>
              <w:rPr>
                <w:sz w:val="18"/>
                <w:szCs w:val="18"/>
              </w:rPr>
            </w:pPr>
            <w:r w:rsidRPr="00C46870">
              <w:rPr>
                <w:sz w:val="18"/>
                <w:szCs w:val="18"/>
              </w:rPr>
              <w:t>11,044</w:t>
            </w:r>
          </w:p>
        </w:tc>
      </w:tr>
    </w:tbl>
    <w:p w14:paraId="04539B8D" w14:textId="35058640" w:rsidR="00D46D62" w:rsidRDefault="00D46D62" w:rsidP="00D46D62"/>
    <w:p w14:paraId="1797DCC1" w14:textId="77777777" w:rsidR="00612295" w:rsidRPr="003D48C0" w:rsidRDefault="00612295" w:rsidP="003D48C0">
      <w:pPr>
        <w:pStyle w:val="Heading3"/>
      </w:pPr>
      <w:r w:rsidRPr="003D48C0">
        <w:t xml:space="preserve">Variants of concern </w:t>
      </w:r>
    </w:p>
    <w:p w14:paraId="37FCA54A" w14:textId="77777777" w:rsidR="00612295" w:rsidRDefault="00612295" w:rsidP="003D48C0">
      <w:proofErr w:type="spellStart"/>
      <w:r>
        <w:t>AusTrakka</w:t>
      </w:r>
      <w:proofErr w:type="spellEnd"/>
      <w:r>
        <w:t xml:space="preserve"> is actively monitoring and reporting on the four lineages designated Variants of Concern (VOC) by international organisations, including the World Health Organization (WHO): Alpha (B.1.1.7); Beta (B.1.351); Gamma (P.1); and Delta (B.1.617.2). All four VOCs display characteristic sets of mutation, including a number of variations in the genomic region encoding the spike protein thought to have the potential to increase transmissibility and/or immune evasion.</w:t>
      </w:r>
      <w:r>
        <w:rPr>
          <w:vertAlign w:val="superscript"/>
        </w:rPr>
        <w:t>7</w:t>
      </w:r>
      <w:r>
        <w:t xml:space="preserve"> On 1 June 2021, WHO announced a new nomenclature system for VOCs, using letters of the Greek alphabet,</w:t>
      </w:r>
      <w:r>
        <w:rPr>
          <w:vertAlign w:val="superscript"/>
        </w:rPr>
        <w:t>8</w:t>
      </w:r>
      <w:r>
        <w:t xml:space="preserve"> to facilitate communication and reduce stigmatisation associated with geography-based colloquial terms. </w:t>
      </w:r>
      <w:r>
        <w:lastRenderedPageBreak/>
        <w:t xml:space="preserve">In addition to the four </w:t>
      </w:r>
      <w:proofErr w:type="gramStart"/>
      <w:r>
        <w:t>internationally-recognised</w:t>
      </w:r>
      <w:proofErr w:type="gramEnd"/>
      <w:r>
        <w:t xml:space="preserve"> VOCs, </w:t>
      </w:r>
      <w:proofErr w:type="spellStart"/>
      <w:r>
        <w:t>AusTrakka</w:t>
      </w:r>
      <w:proofErr w:type="spellEnd"/>
      <w:r>
        <w:t xml:space="preserve"> is also actively monitoring Kappa (B.1.617.1) as a variant of concern. </w:t>
      </w:r>
    </w:p>
    <w:p w14:paraId="725DE52A" w14:textId="77777777" w:rsidR="00612295" w:rsidRDefault="00612295" w:rsidP="003D48C0">
      <w:r>
        <w:t>Further information on variants is available in the Technical Supplement.</w:t>
      </w:r>
      <w:r>
        <w:rPr>
          <w:vertAlign w:val="superscript"/>
        </w:rPr>
        <w:t>3</w:t>
      </w:r>
      <w:r>
        <w:t xml:space="preserve"> </w:t>
      </w:r>
    </w:p>
    <w:p w14:paraId="72BF8573" w14:textId="77777777" w:rsidR="00EA5B3B" w:rsidRDefault="00EA5B3B" w:rsidP="00EA5B3B">
      <w:pPr>
        <w:pStyle w:val="NormalWeb"/>
        <w:rPr>
          <w:lang w:val="en-GB"/>
        </w:rPr>
      </w:pPr>
      <w:r>
        <w:rPr>
          <w:rStyle w:val="Strong"/>
          <w:lang w:val="en-GB"/>
        </w:rPr>
        <w:t xml:space="preserve">Figure 4: Samples in </w:t>
      </w:r>
      <w:proofErr w:type="spellStart"/>
      <w:r>
        <w:rPr>
          <w:rStyle w:val="Strong"/>
          <w:lang w:val="en-GB"/>
        </w:rPr>
        <w:t>AusTrakka</w:t>
      </w:r>
      <w:proofErr w:type="spellEnd"/>
      <w:r>
        <w:rPr>
          <w:rStyle w:val="Strong"/>
          <w:lang w:val="en-GB"/>
        </w:rPr>
        <w:t xml:space="preserve"> from 29 March to 13 September 2021, by lineage and date of </w:t>
      </w:r>
      <w:proofErr w:type="spellStart"/>
      <w:r>
        <w:rPr>
          <w:rStyle w:val="Strong"/>
          <w:lang w:val="en-GB"/>
        </w:rPr>
        <w:t>collection</w:t>
      </w:r>
      <w:r w:rsidRPr="00C30854">
        <w:rPr>
          <w:rStyle w:val="Strong"/>
          <w:vertAlign w:val="superscript"/>
          <w:lang w:val="en-GB"/>
        </w:rPr>
        <w:t>a</w:t>
      </w:r>
      <w:proofErr w:type="spellEnd"/>
    </w:p>
    <w:p w14:paraId="386F772D" w14:textId="77777777" w:rsidR="00EA5B3B" w:rsidRDefault="00EA5B3B" w:rsidP="00EA5B3B">
      <w:pPr>
        <w:pStyle w:val="NormalWeb"/>
        <w:rPr>
          <w:lang w:val="en-GB"/>
        </w:rPr>
      </w:pPr>
      <w:r>
        <w:rPr>
          <w:noProof/>
          <w:lang w:val="en-GB"/>
        </w:rPr>
        <w:drawing>
          <wp:inline distT="0" distB="0" distL="0" distR="0" wp14:anchorId="3CBA2EC4" wp14:editId="4CB01AD8">
            <wp:extent cx="6663595" cy="5335524"/>
            <wp:effectExtent l="0" t="0" r="4445" b="0"/>
            <wp:docPr id="9" name="Picture 9" descr="Figure 4 plots the numbers of SARS-CoV-2 sequences recorded, by lineage and by date of specimen collection, for the calendar year to date. It is apparent that the most frequently-reported variant of the latest four-week period has been the variant of concern (VOC) B.1.617.2 (‘De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4 plots the numbers of SARS-CoV-2 sequences recorded, by lineage and by date of specimen collection, for the calendar year to date. It is apparent that the most frequently-reported variant of the latest four-week period has been the variant of concern (VOC) B.1.617.2 (‘Delta’)."/>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70203" cy="5340815"/>
                    </a:xfrm>
                    <a:prstGeom prst="rect">
                      <a:avLst/>
                    </a:prstGeom>
                  </pic:spPr>
                </pic:pic>
              </a:graphicData>
            </a:graphic>
          </wp:inline>
        </w:drawing>
      </w:r>
    </w:p>
    <w:p w14:paraId="273BD07E" w14:textId="77777777" w:rsidR="00EA5B3B" w:rsidRDefault="00EA5B3B" w:rsidP="00EA5B3B">
      <w:pPr>
        <w:pStyle w:val="CDIfootnotes"/>
        <w:rPr>
          <w:lang w:val="en-GB"/>
        </w:rPr>
      </w:pPr>
      <w:proofErr w:type="spellStart"/>
      <w:r>
        <w:rPr>
          <w:lang w:val="en-GB"/>
        </w:rPr>
        <w:t>a</w:t>
      </w:r>
      <w:proofErr w:type="spellEnd"/>
      <w:r>
        <w:rPr>
          <w:lang w:val="en-GB"/>
        </w:rPr>
        <w:t xml:space="preserve"> </w:t>
      </w:r>
      <w:r>
        <w:rPr>
          <w:lang w:val="en-GB"/>
        </w:rPr>
        <w:tab/>
      </w:r>
      <w:proofErr w:type="gramStart"/>
      <w:r>
        <w:rPr>
          <w:lang w:val="en-GB"/>
        </w:rPr>
        <w:t>The</w:t>
      </w:r>
      <w:proofErr w:type="gramEnd"/>
      <w:r>
        <w:rPr>
          <w:lang w:val="en-GB"/>
        </w:rPr>
        <w:t xml:space="preserve"> start of the current reporting period (16 August – 12 September 2021) is marked by the dotted line, and variant-of-concern samples are coloured red. The size of the circle is proportional to the number of samples in the lineage at each time point.</w:t>
      </w:r>
    </w:p>
    <w:p w14:paraId="172D81EF" w14:textId="77777777" w:rsidR="00612295" w:rsidRPr="003D48C0" w:rsidRDefault="00612295" w:rsidP="003D48C0">
      <w:pPr>
        <w:pStyle w:val="Heading2"/>
      </w:pPr>
      <w:r w:rsidRPr="003D48C0">
        <w:rPr>
          <w:rStyle w:val="Strong"/>
          <w:b/>
          <w:bCs/>
        </w:rPr>
        <w:t>T</w:t>
      </w:r>
      <w:r w:rsidRPr="003D48C0">
        <w:t xml:space="preserve">esting </w:t>
      </w:r>
    </w:p>
    <w:p w14:paraId="47DE6319" w14:textId="77777777" w:rsidR="00612295" w:rsidRPr="003D48C0" w:rsidRDefault="00612295" w:rsidP="003D48C0">
      <w:pPr>
        <w:pStyle w:val="Heading3"/>
        <w:rPr>
          <w:i/>
          <w:iCs/>
        </w:rPr>
      </w:pPr>
      <w:r w:rsidRPr="003D48C0">
        <w:rPr>
          <w:i/>
          <w:iCs/>
        </w:rPr>
        <w:t xml:space="preserve">(State and territory reporting) </w:t>
      </w:r>
    </w:p>
    <w:p w14:paraId="398C958B" w14:textId="77777777" w:rsidR="00612295" w:rsidRDefault="00612295" w:rsidP="003D48C0">
      <w:r>
        <w:t xml:space="preserve">During this four-week reporting period, over 4.2 million individuals were tested nationally, with a positivity rate of 0.6%, noting that data were not available for New South Wales or the Australian Capital Territory from 28 August to 3 September 2021 and that individuals tested in different weeks could be counted more than once (Table 10). Jurisdictional testing rates are driven by both current case numbers and numbers of people experiencing symptoms. </w:t>
      </w:r>
    </w:p>
    <w:p w14:paraId="6151B8B4" w14:textId="4EC33BA5" w:rsidR="00612295" w:rsidRDefault="00612295" w:rsidP="003D48C0">
      <w:r>
        <w:t xml:space="preserve">Testing rates increased substantially from the week ending 23 July 2021 onwards, due to the re-inclusion of data from New South Wales in testing rates (Figure 5). Excluding the week of 28 August to 3 September 2021, where data </w:t>
      </w:r>
      <w:r>
        <w:lastRenderedPageBreak/>
        <w:t xml:space="preserve">was incomplete, testing rates remained high during the reporting period. Those aged 20 to 39 years continued to have the highest rates of testing, followed by those aged 40 to 59 years old. </w:t>
      </w:r>
    </w:p>
    <w:p w14:paraId="4BA65DB6" w14:textId="77777777" w:rsidR="001957FA" w:rsidRDefault="001957FA" w:rsidP="001957FA">
      <w:pPr>
        <w:pStyle w:val="CDIFigures"/>
        <w:rPr>
          <w:rStyle w:val="Strong"/>
          <w:b/>
          <w:bCs w:val="0"/>
        </w:rPr>
        <w:sectPr w:rsidR="001957FA" w:rsidSect="00A30C37">
          <w:footnotePr>
            <w:numFmt w:val="lowerRoman"/>
          </w:footnotePr>
          <w:pgSz w:w="11906" w:h="16838"/>
          <w:pgMar w:top="720" w:right="720" w:bottom="1134" w:left="720" w:header="709" w:footer="284" w:gutter="0"/>
          <w:cols w:space="708"/>
          <w:titlePg/>
          <w:docGrid w:linePitch="360"/>
        </w:sectPr>
      </w:pPr>
    </w:p>
    <w:p w14:paraId="0D02473C" w14:textId="4E91D507" w:rsidR="00D46D62" w:rsidRPr="00A73957" w:rsidRDefault="00D46D62" w:rsidP="001957FA">
      <w:pPr>
        <w:pStyle w:val="CDIFigures"/>
      </w:pPr>
      <w:r w:rsidRPr="00A73957">
        <w:rPr>
          <w:rStyle w:val="Strong"/>
          <w:b/>
          <w:bCs w:val="0"/>
        </w:rPr>
        <w:lastRenderedPageBreak/>
        <w:t>Table 10: Individuals undergoing diagnostic tests for SARS-CoV-</w:t>
      </w:r>
      <w:proofErr w:type="gramStart"/>
      <w:r w:rsidRPr="00A73957">
        <w:rPr>
          <w:rStyle w:val="Strong"/>
          <w:b/>
          <w:bCs w:val="0"/>
        </w:rPr>
        <w:t>2,</w:t>
      </w:r>
      <w:r w:rsidRPr="00A73957">
        <w:rPr>
          <w:rStyle w:val="Strong"/>
          <w:b/>
          <w:bCs w:val="0"/>
          <w:vertAlign w:val="superscript"/>
        </w:rPr>
        <w:t>a</w:t>
      </w:r>
      <w:proofErr w:type="gramEnd"/>
      <w:r w:rsidRPr="00A73957">
        <w:rPr>
          <w:rStyle w:val="Strong"/>
          <w:b/>
          <w:bCs w:val="0"/>
        </w:rPr>
        <w:t xml:space="preserve"> by jurisdiction and reporting period, with a notification received date of 1 January – 10 September 2021 </w:t>
      </w:r>
    </w:p>
    <w:tbl>
      <w:tblPr>
        <w:tblStyle w:val="CDI-StandardTable"/>
        <w:tblW w:w="0" w:type="auto"/>
        <w:tblLook w:val="04A0" w:firstRow="1" w:lastRow="0" w:firstColumn="1" w:lastColumn="0" w:noHBand="0" w:noVBand="1"/>
        <w:tblDescription w:val="Table 10 shows the cumulative number of individuals undergoing SARS-CoV-2 diagnostic nucleic acid tests (and the percentage of those individuals who have tested positive) within each jurisdiction by the end of this fortnightly reporting period, as well as at the end of the previous two-week period and cumulatively for 2021 to date. Nationwide, for this two-week reporting period there have been 1,717,227 individuals tested, with a positivity rate of 0.8%. This is a lower testing rate and higher positivity than those reported in the previous two-week period (2,521,421 individuals tested nationwide, with 0.5% positivity), noting that data from New South Wales and the Australian Capital Territory was unavailable for one week in the most recent two-week reporting period. Of all individuals undergoing tests in Australia during 2021 to date (17,422,641 individuals), the cumulative testing rate is 678.0 individuals tested per 1,000 population and the positivity rate is 0.2%."/>
      </w:tblPr>
      <w:tblGrid>
        <w:gridCol w:w="1282"/>
        <w:gridCol w:w="1067"/>
        <w:gridCol w:w="1434"/>
        <w:gridCol w:w="2226"/>
        <w:gridCol w:w="1008"/>
        <w:gridCol w:w="1087"/>
        <w:gridCol w:w="2226"/>
        <w:gridCol w:w="1179"/>
        <w:gridCol w:w="1087"/>
        <w:gridCol w:w="2226"/>
      </w:tblGrid>
      <w:tr w:rsidR="00D46D62" w:rsidRPr="00BF32FF" w14:paraId="56F71BA9"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val="restart"/>
            <w:tcBorders>
              <w:bottom w:val="single" w:sz="2" w:space="0" w:color="FFFFFF" w:themeColor="background1"/>
              <w:right w:val="single" w:sz="2" w:space="0" w:color="FFFFFF" w:themeColor="background1"/>
            </w:tcBorders>
            <w:hideMark/>
          </w:tcPr>
          <w:p w14:paraId="2B73754E" w14:textId="77777777" w:rsidR="00D46D62" w:rsidRPr="00BF32FF" w:rsidRDefault="00D46D62" w:rsidP="00D46D62">
            <w:pPr>
              <w:pStyle w:val="NormalWeb"/>
              <w:rPr>
                <w:color w:val="FFFFFF" w:themeColor="background1"/>
              </w:rPr>
            </w:pPr>
            <w:r w:rsidRPr="00BF32FF">
              <w:rPr>
                <w:color w:val="FFFFFF" w:themeColor="background1"/>
              </w:rPr>
              <w:t>Jurisdiction</w:t>
            </w:r>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07680722" w14:textId="77777777" w:rsidR="00D46D62" w:rsidRPr="00BF32FF" w:rsidRDefault="00D46D62" w:rsidP="00D46D62">
            <w:pPr>
              <w:pStyle w:val="NormalWeb"/>
              <w:jc w:val="center"/>
              <w:rPr>
                <w:color w:val="FFFFFF" w:themeColor="background1"/>
              </w:rPr>
            </w:pPr>
            <w:r w:rsidRPr="00BF32FF">
              <w:rPr>
                <w:color w:val="FFFFFF" w:themeColor="background1"/>
              </w:rPr>
              <w:t xml:space="preserve">Individuals </w:t>
            </w:r>
            <w:proofErr w:type="spellStart"/>
            <w:r w:rsidRPr="00BF32FF">
              <w:rPr>
                <w:color w:val="FFFFFF" w:themeColor="background1"/>
              </w:rPr>
              <w:t>tested</w:t>
            </w:r>
            <w:r w:rsidRPr="00373397">
              <w:rPr>
                <w:color w:val="FFFFFF" w:themeColor="background1"/>
                <w:vertAlign w:val="superscript"/>
              </w:rPr>
              <w:t>a</w:t>
            </w:r>
            <w:proofErr w:type="spellEnd"/>
          </w:p>
        </w:tc>
        <w:tc>
          <w:tcPr>
            <w:tcW w:w="0" w:type="auto"/>
            <w:gridSpan w:val="3"/>
            <w:tcBorders>
              <w:left w:val="single" w:sz="2" w:space="0" w:color="FFFFFF" w:themeColor="background1"/>
              <w:bottom w:val="single" w:sz="2" w:space="0" w:color="FFFFFF" w:themeColor="background1"/>
              <w:right w:val="single" w:sz="2" w:space="0" w:color="FFFFFF" w:themeColor="background1"/>
            </w:tcBorders>
            <w:hideMark/>
          </w:tcPr>
          <w:p w14:paraId="3CE65601" w14:textId="77777777" w:rsidR="00D46D62" w:rsidRPr="00BF32FF" w:rsidRDefault="00D46D62" w:rsidP="00D46D62">
            <w:pPr>
              <w:pStyle w:val="NormalWeb"/>
              <w:jc w:val="center"/>
              <w:rPr>
                <w:color w:val="FFFFFF" w:themeColor="background1"/>
              </w:rPr>
            </w:pPr>
            <w:r w:rsidRPr="00BF32FF">
              <w:rPr>
                <w:color w:val="FFFFFF" w:themeColor="background1"/>
              </w:rPr>
              <w:t xml:space="preserve">Individuals </w:t>
            </w:r>
            <w:proofErr w:type="spellStart"/>
            <w:r w:rsidRPr="00BF32FF">
              <w:rPr>
                <w:color w:val="FFFFFF" w:themeColor="background1"/>
              </w:rPr>
              <w:t>tested</w:t>
            </w:r>
            <w:r w:rsidRPr="00373397">
              <w:rPr>
                <w:color w:val="FFFFFF" w:themeColor="background1"/>
                <w:vertAlign w:val="superscript"/>
              </w:rPr>
              <w:t>a</w:t>
            </w:r>
            <w:proofErr w:type="spellEnd"/>
          </w:p>
        </w:tc>
        <w:tc>
          <w:tcPr>
            <w:tcW w:w="0" w:type="auto"/>
            <w:gridSpan w:val="3"/>
            <w:vMerge w:val="restart"/>
            <w:tcBorders>
              <w:left w:val="single" w:sz="2" w:space="0" w:color="FFFFFF" w:themeColor="background1"/>
              <w:bottom w:val="single" w:sz="2" w:space="0" w:color="FFFFFF" w:themeColor="background1"/>
            </w:tcBorders>
            <w:hideMark/>
          </w:tcPr>
          <w:p w14:paraId="6B7E361C" w14:textId="77777777" w:rsidR="00D46D62" w:rsidRPr="00BF32FF" w:rsidRDefault="00D46D62" w:rsidP="00D46D62">
            <w:pPr>
              <w:pStyle w:val="NormalWeb"/>
              <w:jc w:val="center"/>
              <w:rPr>
                <w:color w:val="FFFFFF" w:themeColor="background1"/>
              </w:rPr>
            </w:pPr>
            <w:r w:rsidRPr="00BF32FF">
              <w:rPr>
                <w:color w:val="FFFFFF" w:themeColor="background1"/>
              </w:rPr>
              <w:t xml:space="preserve">Cumulative individuals </w:t>
            </w:r>
            <w:proofErr w:type="spellStart"/>
            <w:r w:rsidRPr="00BF32FF">
              <w:rPr>
                <w:color w:val="FFFFFF" w:themeColor="background1"/>
              </w:rPr>
              <w:t>tested</w:t>
            </w:r>
            <w:r w:rsidRPr="00373397">
              <w:rPr>
                <w:color w:val="FFFFFF" w:themeColor="background1"/>
                <w:vertAlign w:val="superscript"/>
              </w:rPr>
              <w:t>a</w:t>
            </w:r>
            <w:proofErr w:type="spellEnd"/>
          </w:p>
          <w:p w14:paraId="63EEB087" w14:textId="77777777" w:rsidR="00D46D62" w:rsidRPr="00BF32FF" w:rsidRDefault="00D46D62" w:rsidP="00D46D62">
            <w:pPr>
              <w:pStyle w:val="NormalWeb"/>
              <w:jc w:val="center"/>
              <w:rPr>
                <w:color w:val="FFFFFF" w:themeColor="background1"/>
              </w:rPr>
            </w:pPr>
            <w:r w:rsidRPr="00BF32FF">
              <w:rPr>
                <w:color w:val="FFFFFF" w:themeColor="background1"/>
              </w:rPr>
              <w:t>in 2021 to 10 September</w:t>
            </w:r>
          </w:p>
        </w:tc>
      </w:tr>
      <w:tr w:rsidR="00D46D62" w:rsidRPr="00BF32FF" w14:paraId="74ACE5C9"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bottom w:val="single" w:sz="2" w:space="0" w:color="FFFFFF" w:themeColor="background1"/>
              <w:right w:val="single" w:sz="2" w:space="0" w:color="FFFFFF" w:themeColor="background1"/>
            </w:tcBorders>
            <w:hideMark/>
          </w:tcPr>
          <w:p w14:paraId="60ECFC75" w14:textId="77777777" w:rsidR="00D46D62" w:rsidRPr="00BF32FF" w:rsidRDefault="00D46D62" w:rsidP="00D46D62">
            <w:pPr>
              <w:rPr>
                <w:color w:val="FFFFFF" w:themeColor="background1"/>
                <w:sz w:val="24"/>
                <w:szCs w:val="24"/>
              </w:rPr>
            </w:pP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E9DFB14" w14:textId="77777777" w:rsidR="00D46D62" w:rsidRPr="00BF32FF" w:rsidRDefault="00D46D62" w:rsidP="00D46D62">
            <w:pPr>
              <w:pStyle w:val="NormalWeb"/>
              <w:jc w:val="center"/>
              <w:rPr>
                <w:color w:val="FFFFFF" w:themeColor="background1"/>
              </w:rPr>
            </w:pPr>
            <w:r w:rsidRPr="00BF32FF">
              <w:rPr>
                <w:color w:val="FFFFFF" w:themeColor="background1"/>
              </w:rPr>
              <w:t>28 August – 10 September 2021</w:t>
            </w:r>
          </w:p>
        </w:tc>
        <w:tc>
          <w:tcPr>
            <w:tcW w:w="0" w:type="auto"/>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0DB621A9" w14:textId="77777777" w:rsidR="00D46D62" w:rsidRPr="00BF32FF" w:rsidRDefault="00D46D62" w:rsidP="00D46D62">
            <w:pPr>
              <w:pStyle w:val="NormalWeb"/>
              <w:jc w:val="center"/>
              <w:rPr>
                <w:color w:val="FFFFFF" w:themeColor="background1"/>
              </w:rPr>
            </w:pPr>
            <w:r w:rsidRPr="00BF32FF">
              <w:rPr>
                <w:color w:val="FFFFFF" w:themeColor="background1"/>
              </w:rPr>
              <w:t>14 August – 27 August 2021</w:t>
            </w:r>
          </w:p>
        </w:tc>
        <w:tc>
          <w:tcPr>
            <w:tcW w:w="0" w:type="auto"/>
            <w:gridSpan w:val="3"/>
            <w:vMerge/>
            <w:tcBorders>
              <w:top w:val="single" w:sz="2" w:space="0" w:color="FFFFFF" w:themeColor="background1"/>
              <w:left w:val="single" w:sz="2" w:space="0" w:color="FFFFFF" w:themeColor="background1"/>
              <w:bottom w:val="single" w:sz="2" w:space="0" w:color="FFFFFF" w:themeColor="background1"/>
            </w:tcBorders>
            <w:hideMark/>
          </w:tcPr>
          <w:p w14:paraId="1F35F962" w14:textId="77777777" w:rsidR="00D46D62" w:rsidRPr="00BF32FF" w:rsidRDefault="00D46D62" w:rsidP="00D46D62">
            <w:pPr>
              <w:jc w:val="center"/>
              <w:rPr>
                <w:color w:val="FFFFFF" w:themeColor="background1"/>
                <w:sz w:val="24"/>
                <w:szCs w:val="24"/>
              </w:rPr>
            </w:pPr>
          </w:p>
        </w:tc>
      </w:tr>
      <w:tr w:rsidR="00D46D62" w:rsidRPr="00BF32FF" w14:paraId="0D6B61D2" w14:textId="77777777" w:rsidTr="00D46D62">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FFFFFF" w:themeColor="background1"/>
              <w:right w:val="single" w:sz="2" w:space="0" w:color="FFFFFF" w:themeColor="background1"/>
            </w:tcBorders>
            <w:hideMark/>
          </w:tcPr>
          <w:p w14:paraId="27F85146" w14:textId="77777777" w:rsidR="00D46D62" w:rsidRPr="00BF32FF" w:rsidRDefault="00D46D62" w:rsidP="00D46D62">
            <w:pPr>
              <w:rPr>
                <w:color w:val="FFFFFF" w:themeColor="background1"/>
                <w:sz w:val="24"/>
                <w:szCs w:val="24"/>
              </w:rPr>
            </w:pP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C52AAA4" w14:textId="77777777" w:rsidR="00D46D62" w:rsidRPr="00BF32FF" w:rsidRDefault="00D46D62" w:rsidP="00D46D62">
            <w:pPr>
              <w:pStyle w:val="NormalWeb"/>
              <w:jc w:val="center"/>
              <w:rPr>
                <w:color w:val="FFFFFF" w:themeColor="background1"/>
              </w:rPr>
            </w:pPr>
            <w:r w:rsidRPr="00BF32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A6948F9" w14:textId="77777777" w:rsidR="00D46D62" w:rsidRPr="00BF32FF" w:rsidRDefault="00D46D62" w:rsidP="00D46D62">
            <w:pPr>
              <w:pStyle w:val="NormalWeb"/>
              <w:jc w:val="center"/>
              <w:rPr>
                <w:color w:val="FFFFFF" w:themeColor="background1"/>
              </w:rPr>
            </w:pPr>
            <w:r w:rsidRPr="00BF32FF">
              <w:rPr>
                <w:color w:val="FFFFFF" w:themeColor="background1"/>
              </w:rPr>
              <w:t>Positivity (%)</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4212172" w14:textId="77777777" w:rsidR="00D46D62" w:rsidRPr="00BF32FF" w:rsidRDefault="00D46D62" w:rsidP="00D46D62">
            <w:pPr>
              <w:pStyle w:val="NormalWeb"/>
              <w:jc w:val="center"/>
              <w:rPr>
                <w:color w:val="FFFFFF" w:themeColor="background1"/>
              </w:rPr>
            </w:pPr>
            <w:r w:rsidRPr="00BF32FF">
              <w:rPr>
                <w:color w:val="FFFFFF" w:themeColor="background1"/>
              </w:rPr>
              <w:t xml:space="preserve">Per 1,000 </w:t>
            </w:r>
            <w:proofErr w:type="spellStart"/>
            <w:r w:rsidRPr="00BF32FF">
              <w:rPr>
                <w:color w:val="FFFFFF" w:themeColor="background1"/>
              </w:rPr>
              <w:t>population</w:t>
            </w:r>
            <w:r w:rsidRPr="00077564">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060CD39B" w14:textId="77777777" w:rsidR="00D46D62" w:rsidRPr="00BF32FF" w:rsidRDefault="00D46D62" w:rsidP="00D46D62">
            <w:pPr>
              <w:pStyle w:val="NormalWeb"/>
              <w:jc w:val="center"/>
              <w:rPr>
                <w:color w:val="FFFFFF" w:themeColor="background1"/>
              </w:rPr>
            </w:pPr>
            <w:r w:rsidRPr="00BF32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351E95D6" w14:textId="77777777" w:rsidR="00D46D62" w:rsidRPr="00BF32FF" w:rsidRDefault="00D46D62" w:rsidP="00D46D62">
            <w:pPr>
              <w:pStyle w:val="NormalWeb"/>
              <w:jc w:val="center"/>
              <w:rPr>
                <w:color w:val="FFFFFF" w:themeColor="background1"/>
              </w:rPr>
            </w:pPr>
            <w:r w:rsidRPr="00BF32FF">
              <w:rPr>
                <w:color w:val="FFFFFF" w:themeColor="background1"/>
              </w:rPr>
              <w:t>Positivity</w:t>
            </w:r>
            <w:r w:rsidRPr="00BF32FF">
              <w:rPr>
                <w:color w:val="FFFFFF" w:themeColor="background1"/>
              </w:rPr>
              <w:br/>
              <w:t>(%)</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166F2E1" w14:textId="77777777" w:rsidR="00D46D62" w:rsidRPr="00BF32FF" w:rsidRDefault="00D46D62" w:rsidP="00D46D62">
            <w:pPr>
              <w:pStyle w:val="NormalWeb"/>
              <w:jc w:val="center"/>
              <w:rPr>
                <w:color w:val="FFFFFF" w:themeColor="background1"/>
              </w:rPr>
            </w:pPr>
            <w:r w:rsidRPr="00BF32FF">
              <w:rPr>
                <w:color w:val="FFFFFF" w:themeColor="background1"/>
              </w:rPr>
              <w:t xml:space="preserve">Per 1,000 </w:t>
            </w:r>
            <w:proofErr w:type="spellStart"/>
            <w:r w:rsidRPr="00BF32FF">
              <w:rPr>
                <w:color w:val="FFFFFF" w:themeColor="background1"/>
              </w:rPr>
              <w:t>population</w:t>
            </w:r>
            <w:r w:rsidRPr="00077564">
              <w:rPr>
                <w:color w:val="FFFFFF" w:themeColor="background1"/>
                <w:vertAlign w:val="superscript"/>
              </w:rPr>
              <w:t>b</w:t>
            </w:r>
            <w:proofErr w:type="spellEnd"/>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15808E2A" w14:textId="77777777" w:rsidR="00D46D62" w:rsidRPr="00BF32FF" w:rsidRDefault="00D46D62" w:rsidP="00D46D62">
            <w:pPr>
              <w:pStyle w:val="NormalWeb"/>
              <w:jc w:val="center"/>
              <w:rPr>
                <w:color w:val="FFFFFF" w:themeColor="background1"/>
              </w:rPr>
            </w:pPr>
            <w:r w:rsidRPr="00BF32FF">
              <w:rPr>
                <w:color w:val="FFFFFF" w:themeColor="background1"/>
              </w:rPr>
              <w:t>n</w:t>
            </w:r>
          </w:p>
        </w:tc>
        <w:tc>
          <w:tcPr>
            <w:tcW w:w="0" w:type="auto"/>
            <w:tcBorders>
              <w:top w:val="single" w:sz="2" w:space="0" w:color="FFFFFF" w:themeColor="background1"/>
              <w:left w:val="single" w:sz="2" w:space="0" w:color="FFFFFF" w:themeColor="background1"/>
              <w:right w:val="single" w:sz="2" w:space="0" w:color="FFFFFF" w:themeColor="background1"/>
            </w:tcBorders>
            <w:hideMark/>
          </w:tcPr>
          <w:p w14:paraId="7FDA8E70" w14:textId="77777777" w:rsidR="00D46D62" w:rsidRPr="00BF32FF" w:rsidRDefault="00D46D62" w:rsidP="00D46D62">
            <w:pPr>
              <w:pStyle w:val="NormalWeb"/>
              <w:jc w:val="center"/>
              <w:rPr>
                <w:color w:val="FFFFFF" w:themeColor="background1"/>
              </w:rPr>
            </w:pPr>
            <w:r w:rsidRPr="00BF32FF">
              <w:rPr>
                <w:color w:val="FFFFFF" w:themeColor="background1"/>
              </w:rPr>
              <w:t>Positivity</w:t>
            </w:r>
            <w:r w:rsidRPr="00BF32FF">
              <w:rPr>
                <w:color w:val="FFFFFF" w:themeColor="background1"/>
              </w:rPr>
              <w:br/>
              <w:t>(%)</w:t>
            </w:r>
          </w:p>
        </w:tc>
        <w:tc>
          <w:tcPr>
            <w:tcW w:w="0" w:type="auto"/>
            <w:tcBorders>
              <w:top w:val="single" w:sz="2" w:space="0" w:color="FFFFFF" w:themeColor="background1"/>
              <w:left w:val="single" w:sz="2" w:space="0" w:color="FFFFFF" w:themeColor="background1"/>
            </w:tcBorders>
            <w:hideMark/>
          </w:tcPr>
          <w:p w14:paraId="7E974CD4" w14:textId="77777777" w:rsidR="00D46D62" w:rsidRPr="00BF32FF" w:rsidRDefault="00D46D62" w:rsidP="00D46D62">
            <w:pPr>
              <w:pStyle w:val="NormalWeb"/>
              <w:jc w:val="center"/>
              <w:rPr>
                <w:color w:val="FFFFFF" w:themeColor="background1"/>
              </w:rPr>
            </w:pPr>
            <w:r w:rsidRPr="00BF32FF">
              <w:rPr>
                <w:color w:val="FFFFFF" w:themeColor="background1"/>
              </w:rPr>
              <w:t xml:space="preserve">Per 1,000 </w:t>
            </w:r>
            <w:proofErr w:type="spellStart"/>
            <w:r w:rsidRPr="00BF32FF">
              <w:rPr>
                <w:color w:val="FFFFFF" w:themeColor="background1"/>
              </w:rPr>
              <w:t>population</w:t>
            </w:r>
            <w:r w:rsidRPr="00077564">
              <w:rPr>
                <w:color w:val="FFFFFF" w:themeColor="background1"/>
                <w:vertAlign w:val="superscript"/>
              </w:rPr>
              <w:t>b</w:t>
            </w:r>
            <w:proofErr w:type="spellEnd"/>
          </w:p>
        </w:tc>
      </w:tr>
      <w:tr w:rsidR="00D46D62" w14:paraId="59ED3795" w14:textId="77777777" w:rsidTr="00D46D62">
        <w:tblPrEx>
          <w:tblCellMar>
            <w:top w:w="57" w:type="dxa"/>
            <w:left w:w="57" w:type="dxa"/>
            <w:bottom w:w="57" w:type="dxa"/>
            <w:right w:w="57" w:type="dxa"/>
          </w:tblCellMar>
        </w:tblPrEx>
        <w:tc>
          <w:tcPr>
            <w:tcW w:w="0" w:type="auto"/>
            <w:hideMark/>
          </w:tcPr>
          <w:p w14:paraId="6B94720E" w14:textId="77777777" w:rsidR="00D46D62" w:rsidRDefault="00D46D62" w:rsidP="00D46D62">
            <w:pPr>
              <w:pStyle w:val="NormalWeb"/>
            </w:pPr>
            <w:r>
              <w:t>ACT</w:t>
            </w:r>
          </w:p>
        </w:tc>
        <w:tc>
          <w:tcPr>
            <w:tcW w:w="0" w:type="auto"/>
            <w:hideMark/>
          </w:tcPr>
          <w:p w14:paraId="38E868D7" w14:textId="77777777" w:rsidR="00D46D62" w:rsidRDefault="00D46D62" w:rsidP="00D46D62">
            <w:pPr>
              <w:pStyle w:val="NormalWeb"/>
              <w:jc w:val="center"/>
            </w:pPr>
            <w:r>
              <w:t>19,834c</w:t>
            </w:r>
          </w:p>
        </w:tc>
        <w:tc>
          <w:tcPr>
            <w:tcW w:w="0" w:type="auto"/>
            <w:hideMark/>
          </w:tcPr>
          <w:p w14:paraId="470ACD5B" w14:textId="77777777" w:rsidR="00D46D62" w:rsidRDefault="00D46D62" w:rsidP="00D46D62">
            <w:pPr>
              <w:pStyle w:val="NormalWeb"/>
              <w:jc w:val="center"/>
            </w:pPr>
            <w:r>
              <w:t>0.6c</w:t>
            </w:r>
          </w:p>
        </w:tc>
        <w:tc>
          <w:tcPr>
            <w:tcW w:w="0" w:type="auto"/>
            <w:hideMark/>
          </w:tcPr>
          <w:p w14:paraId="04750051" w14:textId="77777777" w:rsidR="00D46D62" w:rsidRDefault="00D46D62" w:rsidP="00D46D62">
            <w:pPr>
              <w:pStyle w:val="NormalWeb"/>
              <w:jc w:val="center"/>
            </w:pPr>
            <w:r>
              <w:t>46.0c</w:t>
            </w:r>
          </w:p>
        </w:tc>
        <w:tc>
          <w:tcPr>
            <w:tcW w:w="0" w:type="auto"/>
            <w:hideMark/>
          </w:tcPr>
          <w:p w14:paraId="1799D841" w14:textId="77777777" w:rsidR="00D46D62" w:rsidRDefault="00D46D62" w:rsidP="00D46D62">
            <w:pPr>
              <w:pStyle w:val="NormalWeb"/>
              <w:jc w:val="center"/>
            </w:pPr>
            <w:r>
              <w:t>88,853</w:t>
            </w:r>
          </w:p>
        </w:tc>
        <w:tc>
          <w:tcPr>
            <w:tcW w:w="0" w:type="auto"/>
            <w:hideMark/>
          </w:tcPr>
          <w:p w14:paraId="0409EB44" w14:textId="77777777" w:rsidR="00D46D62" w:rsidRDefault="00D46D62" w:rsidP="00D46D62">
            <w:pPr>
              <w:pStyle w:val="NormalWeb"/>
              <w:jc w:val="center"/>
            </w:pPr>
            <w:r>
              <w:t>0.3</w:t>
            </w:r>
          </w:p>
        </w:tc>
        <w:tc>
          <w:tcPr>
            <w:tcW w:w="0" w:type="auto"/>
            <w:hideMark/>
          </w:tcPr>
          <w:p w14:paraId="0B934548" w14:textId="77777777" w:rsidR="00D46D62" w:rsidRDefault="00D46D62" w:rsidP="00D46D62">
            <w:pPr>
              <w:pStyle w:val="NormalWeb"/>
              <w:jc w:val="center"/>
            </w:pPr>
            <w:r>
              <w:t>206.0</w:t>
            </w:r>
          </w:p>
        </w:tc>
        <w:tc>
          <w:tcPr>
            <w:tcW w:w="0" w:type="auto"/>
            <w:hideMark/>
          </w:tcPr>
          <w:p w14:paraId="2BD589C3" w14:textId="77777777" w:rsidR="00D46D62" w:rsidRDefault="00D46D62" w:rsidP="00D46D62">
            <w:pPr>
              <w:pStyle w:val="NormalWeb"/>
              <w:jc w:val="center"/>
            </w:pPr>
            <w:r>
              <w:t>265,149c</w:t>
            </w:r>
          </w:p>
        </w:tc>
        <w:tc>
          <w:tcPr>
            <w:tcW w:w="0" w:type="auto"/>
            <w:hideMark/>
          </w:tcPr>
          <w:p w14:paraId="3A12D6EE" w14:textId="77777777" w:rsidR="00D46D62" w:rsidRDefault="00D46D62" w:rsidP="00D46D62">
            <w:pPr>
              <w:pStyle w:val="NormalWeb"/>
              <w:jc w:val="center"/>
            </w:pPr>
            <w:r>
              <w:t>0.2c</w:t>
            </w:r>
          </w:p>
        </w:tc>
        <w:tc>
          <w:tcPr>
            <w:tcW w:w="0" w:type="auto"/>
            <w:hideMark/>
          </w:tcPr>
          <w:p w14:paraId="7FCC412C" w14:textId="77777777" w:rsidR="00D46D62" w:rsidRDefault="00D46D62" w:rsidP="00D46D62">
            <w:pPr>
              <w:pStyle w:val="NormalWeb"/>
              <w:jc w:val="center"/>
            </w:pPr>
            <w:r>
              <w:t>615.7c</w:t>
            </w:r>
          </w:p>
        </w:tc>
      </w:tr>
      <w:tr w:rsidR="00D46D62" w14:paraId="20720EF8"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C7A400B" w14:textId="77777777" w:rsidR="00D46D62" w:rsidRDefault="00D46D62" w:rsidP="00D46D62">
            <w:pPr>
              <w:pStyle w:val="NormalWeb"/>
            </w:pPr>
            <w:r>
              <w:t>NSW</w:t>
            </w:r>
          </w:p>
        </w:tc>
        <w:tc>
          <w:tcPr>
            <w:tcW w:w="0" w:type="auto"/>
            <w:hideMark/>
          </w:tcPr>
          <w:p w14:paraId="78F7DBEE" w14:textId="77777777" w:rsidR="00D46D62" w:rsidRDefault="00D46D62" w:rsidP="00D46D62">
            <w:pPr>
              <w:pStyle w:val="NormalWeb"/>
              <w:jc w:val="center"/>
            </w:pPr>
            <w:r>
              <w:t>720,691c</w:t>
            </w:r>
          </w:p>
        </w:tc>
        <w:tc>
          <w:tcPr>
            <w:tcW w:w="0" w:type="auto"/>
            <w:hideMark/>
          </w:tcPr>
          <w:p w14:paraId="57BD3611" w14:textId="77777777" w:rsidR="00D46D62" w:rsidRDefault="00D46D62" w:rsidP="00D46D62">
            <w:pPr>
              <w:pStyle w:val="NormalWeb"/>
              <w:jc w:val="center"/>
            </w:pPr>
            <w:r>
              <w:t>1.3</w:t>
            </w:r>
            <w:r w:rsidRPr="00077564">
              <w:rPr>
                <w:vertAlign w:val="superscript"/>
              </w:rPr>
              <w:t>c</w:t>
            </w:r>
          </w:p>
        </w:tc>
        <w:tc>
          <w:tcPr>
            <w:tcW w:w="0" w:type="auto"/>
            <w:hideMark/>
          </w:tcPr>
          <w:p w14:paraId="10D006B7" w14:textId="77777777" w:rsidR="00D46D62" w:rsidRDefault="00D46D62" w:rsidP="00D46D62">
            <w:pPr>
              <w:pStyle w:val="NormalWeb"/>
              <w:jc w:val="center"/>
            </w:pPr>
            <w:r>
              <w:t>88.2</w:t>
            </w:r>
            <w:r w:rsidRPr="00077564">
              <w:rPr>
                <w:vertAlign w:val="superscript"/>
              </w:rPr>
              <w:t>c</w:t>
            </w:r>
          </w:p>
        </w:tc>
        <w:tc>
          <w:tcPr>
            <w:tcW w:w="0" w:type="auto"/>
            <w:hideMark/>
          </w:tcPr>
          <w:p w14:paraId="179E5A79" w14:textId="77777777" w:rsidR="00D46D62" w:rsidRDefault="00D46D62" w:rsidP="00D46D62">
            <w:pPr>
              <w:pStyle w:val="NormalWeb"/>
              <w:jc w:val="center"/>
            </w:pPr>
            <w:r>
              <w:t>1,530,196</w:t>
            </w:r>
          </w:p>
        </w:tc>
        <w:tc>
          <w:tcPr>
            <w:tcW w:w="0" w:type="auto"/>
            <w:hideMark/>
          </w:tcPr>
          <w:p w14:paraId="31018C14" w14:textId="77777777" w:rsidR="00D46D62" w:rsidRDefault="00D46D62" w:rsidP="00D46D62">
            <w:pPr>
              <w:pStyle w:val="NormalWeb"/>
              <w:jc w:val="center"/>
            </w:pPr>
            <w:r>
              <w:t>0.8</w:t>
            </w:r>
          </w:p>
        </w:tc>
        <w:tc>
          <w:tcPr>
            <w:tcW w:w="0" w:type="auto"/>
            <w:hideMark/>
          </w:tcPr>
          <w:p w14:paraId="2367B6FB" w14:textId="77777777" w:rsidR="00D46D62" w:rsidRDefault="00D46D62" w:rsidP="00D46D62">
            <w:pPr>
              <w:pStyle w:val="NormalWeb"/>
              <w:jc w:val="center"/>
            </w:pPr>
            <w:r>
              <w:t>187.3</w:t>
            </w:r>
          </w:p>
        </w:tc>
        <w:tc>
          <w:tcPr>
            <w:tcW w:w="0" w:type="auto"/>
            <w:hideMark/>
          </w:tcPr>
          <w:p w14:paraId="5CE37B3F" w14:textId="77777777" w:rsidR="00D46D62" w:rsidRDefault="00D46D62" w:rsidP="00D46D62">
            <w:pPr>
              <w:pStyle w:val="NormalWeb"/>
              <w:jc w:val="center"/>
            </w:pPr>
            <w:r>
              <w:t>6,880,221</w:t>
            </w:r>
            <w:r w:rsidRPr="00077564">
              <w:rPr>
                <w:vertAlign w:val="superscript"/>
              </w:rPr>
              <w:t>c</w:t>
            </w:r>
          </w:p>
        </w:tc>
        <w:tc>
          <w:tcPr>
            <w:tcW w:w="0" w:type="auto"/>
            <w:hideMark/>
          </w:tcPr>
          <w:p w14:paraId="1DFC0558" w14:textId="77777777" w:rsidR="00D46D62" w:rsidRDefault="00D46D62" w:rsidP="00D46D62">
            <w:pPr>
              <w:pStyle w:val="NormalWeb"/>
              <w:jc w:val="center"/>
            </w:pPr>
            <w:r>
              <w:t>0.4</w:t>
            </w:r>
            <w:r w:rsidRPr="00077564">
              <w:rPr>
                <w:vertAlign w:val="superscript"/>
              </w:rPr>
              <w:t>c</w:t>
            </w:r>
          </w:p>
        </w:tc>
        <w:tc>
          <w:tcPr>
            <w:tcW w:w="0" w:type="auto"/>
            <w:hideMark/>
          </w:tcPr>
          <w:p w14:paraId="6865B232" w14:textId="77777777" w:rsidR="00D46D62" w:rsidRDefault="00D46D62" w:rsidP="00D46D62">
            <w:pPr>
              <w:pStyle w:val="NormalWeb"/>
              <w:jc w:val="center"/>
            </w:pPr>
            <w:r>
              <w:t>842.3</w:t>
            </w:r>
            <w:r w:rsidRPr="00077564">
              <w:rPr>
                <w:vertAlign w:val="superscript"/>
              </w:rPr>
              <w:t>c</w:t>
            </w:r>
          </w:p>
        </w:tc>
      </w:tr>
      <w:tr w:rsidR="00D46D62" w14:paraId="15B4A497" w14:textId="77777777" w:rsidTr="00D46D62">
        <w:tblPrEx>
          <w:tblCellMar>
            <w:top w:w="57" w:type="dxa"/>
            <w:left w:w="57" w:type="dxa"/>
            <w:bottom w:w="57" w:type="dxa"/>
            <w:right w:w="57" w:type="dxa"/>
          </w:tblCellMar>
        </w:tblPrEx>
        <w:tc>
          <w:tcPr>
            <w:tcW w:w="0" w:type="auto"/>
            <w:hideMark/>
          </w:tcPr>
          <w:p w14:paraId="52B4FBA9" w14:textId="77777777" w:rsidR="00D46D62" w:rsidRDefault="00D46D62" w:rsidP="00D46D62">
            <w:pPr>
              <w:pStyle w:val="NormalWeb"/>
            </w:pPr>
            <w:r>
              <w:t>NT</w:t>
            </w:r>
          </w:p>
        </w:tc>
        <w:tc>
          <w:tcPr>
            <w:tcW w:w="0" w:type="auto"/>
            <w:hideMark/>
          </w:tcPr>
          <w:p w14:paraId="04276BBF" w14:textId="77777777" w:rsidR="00D46D62" w:rsidRDefault="00D46D62" w:rsidP="00D46D62">
            <w:pPr>
              <w:pStyle w:val="NormalWeb"/>
              <w:jc w:val="center"/>
            </w:pPr>
            <w:r>
              <w:t>12,032</w:t>
            </w:r>
          </w:p>
        </w:tc>
        <w:tc>
          <w:tcPr>
            <w:tcW w:w="0" w:type="auto"/>
            <w:hideMark/>
          </w:tcPr>
          <w:p w14:paraId="775D40B2" w14:textId="77777777" w:rsidR="00D46D62" w:rsidRDefault="00D46D62" w:rsidP="00D46D62">
            <w:pPr>
              <w:pStyle w:val="NormalWeb"/>
              <w:jc w:val="center"/>
            </w:pPr>
            <w:r>
              <w:t>&lt;0.01</w:t>
            </w:r>
          </w:p>
        </w:tc>
        <w:tc>
          <w:tcPr>
            <w:tcW w:w="0" w:type="auto"/>
            <w:hideMark/>
          </w:tcPr>
          <w:p w14:paraId="4F87E35A" w14:textId="77777777" w:rsidR="00D46D62" w:rsidRDefault="00D46D62" w:rsidP="00D46D62">
            <w:pPr>
              <w:pStyle w:val="NormalWeb"/>
              <w:jc w:val="center"/>
            </w:pPr>
            <w:r>
              <w:t>48.9</w:t>
            </w:r>
          </w:p>
        </w:tc>
        <w:tc>
          <w:tcPr>
            <w:tcW w:w="0" w:type="auto"/>
            <w:hideMark/>
          </w:tcPr>
          <w:p w14:paraId="2B29C2BF" w14:textId="77777777" w:rsidR="00D46D62" w:rsidRDefault="00D46D62" w:rsidP="00D46D62">
            <w:pPr>
              <w:pStyle w:val="NormalWeb"/>
              <w:jc w:val="center"/>
            </w:pPr>
            <w:r>
              <w:t>16,192</w:t>
            </w:r>
          </w:p>
        </w:tc>
        <w:tc>
          <w:tcPr>
            <w:tcW w:w="0" w:type="auto"/>
            <w:hideMark/>
          </w:tcPr>
          <w:p w14:paraId="7C20E510" w14:textId="77777777" w:rsidR="00D46D62" w:rsidRDefault="00D46D62" w:rsidP="00D46D62">
            <w:pPr>
              <w:pStyle w:val="NormalWeb"/>
              <w:jc w:val="center"/>
            </w:pPr>
            <w:r>
              <w:t>0.02</w:t>
            </w:r>
          </w:p>
        </w:tc>
        <w:tc>
          <w:tcPr>
            <w:tcW w:w="0" w:type="auto"/>
            <w:hideMark/>
          </w:tcPr>
          <w:p w14:paraId="15008230" w14:textId="77777777" w:rsidR="00D46D62" w:rsidRDefault="00D46D62" w:rsidP="00D46D62">
            <w:pPr>
              <w:pStyle w:val="NormalWeb"/>
              <w:jc w:val="center"/>
            </w:pPr>
            <w:r>
              <w:t>65.7</w:t>
            </w:r>
          </w:p>
        </w:tc>
        <w:tc>
          <w:tcPr>
            <w:tcW w:w="0" w:type="auto"/>
            <w:hideMark/>
          </w:tcPr>
          <w:p w14:paraId="4F8F2A27" w14:textId="77777777" w:rsidR="00D46D62" w:rsidRDefault="00D46D62" w:rsidP="00D46D62">
            <w:pPr>
              <w:pStyle w:val="NormalWeb"/>
              <w:jc w:val="center"/>
            </w:pPr>
            <w:r>
              <w:t>186,782</w:t>
            </w:r>
          </w:p>
        </w:tc>
        <w:tc>
          <w:tcPr>
            <w:tcW w:w="0" w:type="auto"/>
            <w:hideMark/>
          </w:tcPr>
          <w:p w14:paraId="4250F548" w14:textId="77777777" w:rsidR="00D46D62" w:rsidRDefault="00D46D62" w:rsidP="00D46D62">
            <w:pPr>
              <w:pStyle w:val="NormalWeb"/>
              <w:jc w:val="center"/>
            </w:pPr>
            <w:r>
              <w:t>0.06</w:t>
            </w:r>
          </w:p>
        </w:tc>
        <w:tc>
          <w:tcPr>
            <w:tcW w:w="0" w:type="auto"/>
            <w:hideMark/>
          </w:tcPr>
          <w:p w14:paraId="36DEA033" w14:textId="77777777" w:rsidR="00D46D62" w:rsidRDefault="00D46D62" w:rsidP="00D46D62">
            <w:pPr>
              <w:pStyle w:val="NormalWeb"/>
              <w:jc w:val="center"/>
            </w:pPr>
            <w:r>
              <w:t>758.4</w:t>
            </w:r>
          </w:p>
        </w:tc>
      </w:tr>
      <w:tr w:rsidR="00D46D62" w14:paraId="37C58AE6"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E1AE316" w14:textId="77777777" w:rsidR="00D46D62" w:rsidRDefault="00D46D62" w:rsidP="00D46D62">
            <w:pPr>
              <w:pStyle w:val="NormalWeb"/>
            </w:pPr>
            <w:r>
              <w:t>Qld</w:t>
            </w:r>
          </w:p>
        </w:tc>
        <w:tc>
          <w:tcPr>
            <w:tcW w:w="0" w:type="auto"/>
            <w:hideMark/>
          </w:tcPr>
          <w:p w14:paraId="78869F9A" w14:textId="77777777" w:rsidR="00D46D62" w:rsidRDefault="00D46D62" w:rsidP="00D46D62">
            <w:pPr>
              <w:pStyle w:val="NormalWeb"/>
              <w:jc w:val="center"/>
            </w:pPr>
            <w:r>
              <w:t>130,867</w:t>
            </w:r>
          </w:p>
        </w:tc>
        <w:tc>
          <w:tcPr>
            <w:tcW w:w="0" w:type="auto"/>
            <w:hideMark/>
          </w:tcPr>
          <w:p w14:paraId="5FA5C444" w14:textId="77777777" w:rsidR="00D46D62" w:rsidRDefault="00D46D62" w:rsidP="00D46D62">
            <w:pPr>
              <w:pStyle w:val="NormalWeb"/>
              <w:jc w:val="center"/>
            </w:pPr>
            <w:r>
              <w:t>0.01</w:t>
            </w:r>
          </w:p>
        </w:tc>
        <w:tc>
          <w:tcPr>
            <w:tcW w:w="0" w:type="auto"/>
            <w:hideMark/>
          </w:tcPr>
          <w:p w14:paraId="75673F23" w14:textId="77777777" w:rsidR="00D46D62" w:rsidRDefault="00D46D62" w:rsidP="00D46D62">
            <w:pPr>
              <w:pStyle w:val="NormalWeb"/>
              <w:jc w:val="center"/>
            </w:pPr>
            <w:r>
              <w:t>25.3</w:t>
            </w:r>
          </w:p>
        </w:tc>
        <w:tc>
          <w:tcPr>
            <w:tcW w:w="0" w:type="auto"/>
            <w:hideMark/>
          </w:tcPr>
          <w:p w14:paraId="14EE2B23" w14:textId="77777777" w:rsidR="00D46D62" w:rsidRDefault="00D46D62" w:rsidP="00D46D62">
            <w:pPr>
              <w:pStyle w:val="NormalWeb"/>
              <w:jc w:val="center"/>
            </w:pPr>
            <w:r>
              <w:t>138,569</w:t>
            </w:r>
          </w:p>
        </w:tc>
        <w:tc>
          <w:tcPr>
            <w:tcW w:w="0" w:type="auto"/>
            <w:hideMark/>
          </w:tcPr>
          <w:p w14:paraId="0FF9964A" w14:textId="77777777" w:rsidR="00D46D62" w:rsidRDefault="00D46D62" w:rsidP="00D46D62">
            <w:pPr>
              <w:pStyle w:val="NormalWeb"/>
              <w:jc w:val="center"/>
            </w:pPr>
            <w:r>
              <w:t>0.02</w:t>
            </w:r>
          </w:p>
        </w:tc>
        <w:tc>
          <w:tcPr>
            <w:tcW w:w="0" w:type="auto"/>
            <w:hideMark/>
          </w:tcPr>
          <w:p w14:paraId="75074DAD" w14:textId="77777777" w:rsidR="00D46D62" w:rsidRDefault="00D46D62" w:rsidP="00D46D62">
            <w:pPr>
              <w:pStyle w:val="NormalWeb"/>
              <w:jc w:val="center"/>
            </w:pPr>
            <w:r>
              <w:t>26.8</w:t>
            </w:r>
          </w:p>
        </w:tc>
        <w:tc>
          <w:tcPr>
            <w:tcW w:w="0" w:type="auto"/>
            <w:hideMark/>
          </w:tcPr>
          <w:p w14:paraId="343BD9EA" w14:textId="77777777" w:rsidR="00D46D62" w:rsidRDefault="00D46D62" w:rsidP="00D46D62">
            <w:pPr>
              <w:pStyle w:val="NormalWeb"/>
              <w:jc w:val="center"/>
            </w:pPr>
            <w:r>
              <w:t>1,992,391</w:t>
            </w:r>
          </w:p>
        </w:tc>
        <w:tc>
          <w:tcPr>
            <w:tcW w:w="0" w:type="auto"/>
            <w:hideMark/>
          </w:tcPr>
          <w:p w14:paraId="7723A76B" w14:textId="77777777" w:rsidR="00D46D62" w:rsidRDefault="00D46D62" w:rsidP="00D46D62">
            <w:pPr>
              <w:pStyle w:val="NormalWeb"/>
              <w:jc w:val="center"/>
            </w:pPr>
            <w:r>
              <w:t>0.03</w:t>
            </w:r>
          </w:p>
        </w:tc>
        <w:tc>
          <w:tcPr>
            <w:tcW w:w="0" w:type="auto"/>
            <w:hideMark/>
          </w:tcPr>
          <w:p w14:paraId="2DDAA3AA" w14:textId="77777777" w:rsidR="00D46D62" w:rsidRDefault="00D46D62" w:rsidP="00D46D62">
            <w:pPr>
              <w:pStyle w:val="NormalWeb"/>
              <w:jc w:val="center"/>
            </w:pPr>
            <w:r>
              <w:t>384.9</w:t>
            </w:r>
          </w:p>
        </w:tc>
      </w:tr>
      <w:tr w:rsidR="00D46D62" w14:paraId="277FEBBC" w14:textId="77777777" w:rsidTr="00D46D62">
        <w:tblPrEx>
          <w:tblCellMar>
            <w:top w:w="57" w:type="dxa"/>
            <w:left w:w="57" w:type="dxa"/>
            <w:bottom w:w="57" w:type="dxa"/>
            <w:right w:w="57" w:type="dxa"/>
          </w:tblCellMar>
        </w:tblPrEx>
        <w:tc>
          <w:tcPr>
            <w:tcW w:w="0" w:type="auto"/>
            <w:hideMark/>
          </w:tcPr>
          <w:p w14:paraId="306E60BD" w14:textId="77777777" w:rsidR="00D46D62" w:rsidRDefault="00D46D62" w:rsidP="00D46D62">
            <w:pPr>
              <w:pStyle w:val="NormalWeb"/>
            </w:pPr>
            <w:r>
              <w:t>SA</w:t>
            </w:r>
          </w:p>
        </w:tc>
        <w:tc>
          <w:tcPr>
            <w:tcW w:w="0" w:type="auto"/>
            <w:hideMark/>
          </w:tcPr>
          <w:p w14:paraId="1581FB91" w14:textId="77777777" w:rsidR="00D46D62" w:rsidRDefault="00D46D62" w:rsidP="00D46D62">
            <w:pPr>
              <w:pStyle w:val="NormalWeb"/>
              <w:jc w:val="center"/>
            </w:pPr>
            <w:r>
              <w:t>63,020</w:t>
            </w:r>
          </w:p>
        </w:tc>
        <w:tc>
          <w:tcPr>
            <w:tcW w:w="0" w:type="auto"/>
            <w:hideMark/>
          </w:tcPr>
          <w:p w14:paraId="369CB966" w14:textId="77777777" w:rsidR="00D46D62" w:rsidRDefault="00D46D62" w:rsidP="00D46D62">
            <w:pPr>
              <w:pStyle w:val="NormalWeb"/>
              <w:jc w:val="center"/>
            </w:pPr>
            <w:r>
              <w:t>0.02</w:t>
            </w:r>
          </w:p>
        </w:tc>
        <w:tc>
          <w:tcPr>
            <w:tcW w:w="0" w:type="auto"/>
            <w:hideMark/>
          </w:tcPr>
          <w:p w14:paraId="35816216" w14:textId="77777777" w:rsidR="00D46D62" w:rsidRDefault="00D46D62" w:rsidP="00D46D62">
            <w:pPr>
              <w:pStyle w:val="NormalWeb"/>
              <w:jc w:val="center"/>
            </w:pPr>
            <w:r>
              <w:t>35.6</w:t>
            </w:r>
          </w:p>
        </w:tc>
        <w:tc>
          <w:tcPr>
            <w:tcW w:w="0" w:type="auto"/>
            <w:hideMark/>
          </w:tcPr>
          <w:p w14:paraId="3F9CAC46" w14:textId="77777777" w:rsidR="00D46D62" w:rsidRDefault="00D46D62" w:rsidP="00D46D62">
            <w:pPr>
              <w:pStyle w:val="NormalWeb"/>
              <w:jc w:val="center"/>
            </w:pPr>
            <w:r>
              <w:t>60,920</w:t>
            </w:r>
          </w:p>
        </w:tc>
        <w:tc>
          <w:tcPr>
            <w:tcW w:w="0" w:type="auto"/>
            <w:hideMark/>
          </w:tcPr>
          <w:p w14:paraId="7889E1CD" w14:textId="77777777" w:rsidR="00D46D62" w:rsidRDefault="00D46D62" w:rsidP="00D46D62">
            <w:pPr>
              <w:pStyle w:val="NormalWeb"/>
              <w:jc w:val="center"/>
            </w:pPr>
            <w:r>
              <w:t>&lt;0.01</w:t>
            </w:r>
          </w:p>
        </w:tc>
        <w:tc>
          <w:tcPr>
            <w:tcW w:w="0" w:type="auto"/>
            <w:hideMark/>
          </w:tcPr>
          <w:p w14:paraId="5CA876A6" w14:textId="77777777" w:rsidR="00D46D62" w:rsidRDefault="00D46D62" w:rsidP="00D46D62">
            <w:pPr>
              <w:pStyle w:val="NormalWeb"/>
              <w:jc w:val="center"/>
            </w:pPr>
            <w:r>
              <w:t>34.4</w:t>
            </w:r>
          </w:p>
        </w:tc>
        <w:tc>
          <w:tcPr>
            <w:tcW w:w="0" w:type="auto"/>
            <w:hideMark/>
          </w:tcPr>
          <w:p w14:paraId="45DC9DD7" w14:textId="77777777" w:rsidR="00D46D62" w:rsidRDefault="00D46D62" w:rsidP="00D46D62">
            <w:pPr>
              <w:pStyle w:val="NormalWeb"/>
              <w:jc w:val="center"/>
            </w:pPr>
            <w:r>
              <w:t>1,114,048</w:t>
            </w:r>
          </w:p>
        </w:tc>
        <w:tc>
          <w:tcPr>
            <w:tcW w:w="0" w:type="auto"/>
            <w:hideMark/>
          </w:tcPr>
          <w:p w14:paraId="3BA00B49" w14:textId="77777777" w:rsidR="00D46D62" w:rsidRDefault="00D46D62" w:rsidP="00D46D62">
            <w:pPr>
              <w:pStyle w:val="NormalWeb"/>
              <w:jc w:val="center"/>
            </w:pPr>
            <w:r>
              <w:t>0.02</w:t>
            </w:r>
          </w:p>
        </w:tc>
        <w:tc>
          <w:tcPr>
            <w:tcW w:w="0" w:type="auto"/>
            <w:hideMark/>
          </w:tcPr>
          <w:p w14:paraId="05DDC29E" w14:textId="77777777" w:rsidR="00D46D62" w:rsidRDefault="00D46D62" w:rsidP="00D46D62">
            <w:pPr>
              <w:pStyle w:val="NormalWeb"/>
              <w:jc w:val="center"/>
            </w:pPr>
            <w:r>
              <w:t>629.2</w:t>
            </w:r>
          </w:p>
        </w:tc>
      </w:tr>
      <w:tr w:rsidR="00D46D62" w14:paraId="42C3B3FB"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18357F2" w14:textId="77777777" w:rsidR="00D46D62" w:rsidRDefault="00D46D62" w:rsidP="00D46D62">
            <w:pPr>
              <w:pStyle w:val="NormalWeb"/>
            </w:pPr>
            <w:r>
              <w:t>Tas.</w:t>
            </w:r>
          </w:p>
        </w:tc>
        <w:tc>
          <w:tcPr>
            <w:tcW w:w="0" w:type="auto"/>
            <w:hideMark/>
          </w:tcPr>
          <w:p w14:paraId="56D1D826" w14:textId="77777777" w:rsidR="00D46D62" w:rsidRDefault="00D46D62" w:rsidP="00D46D62">
            <w:pPr>
              <w:pStyle w:val="NormalWeb"/>
              <w:jc w:val="center"/>
            </w:pPr>
            <w:r>
              <w:t>12,999</w:t>
            </w:r>
          </w:p>
        </w:tc>
        <w:tc>
          <w:tcPr>
            <w:tcW w:w="0" w:type="auto"/>
            <w:hideMark/>
          </w:tcPr>
          <w:p w14:paraId="4B5DFFBF" w14:textId="77777777" w:rsidR="00D46D62" w:rsidRDefault="00D46D62" w:rsidP="00D46D62">
            <w:pPr>
              <w:pStyle w:val="NormalWeb"/>
              <w:jc w:val="center"/>
            </w:pPr>
            <w:r>
              <w:t>-</w:t>
            </w:r>
          </w:p>
        </w:tc>
        <w:tc>
          <w:tcPr>
            <w:tcW w:w="0" w:type="auto"/>
            <w:hideMark/>
          </w:tcPr>
          <w:p w14:paraId="70292956" w14:textId="77777777" w:rsidR="00D46D62" w:rsidRDefault="00D46D62" w:rsidP="00D46D62">
            <w:pPr>
              <w:pStyle w:val="NormalWeb"/>
              <w:jc w:val="center"/>
            </w:pPr>
            <w:r>
              <w:t>24.0</w:t>
            </w:r>
          </w:p>
        </w:tc>
        <w:tc>
          <w:tcPr>
            <w:tcW w:w="0" w:type="auto"/>
            <w:hideMark/>
          </w:tcPr>
          <w:p w14:paraId="7623B81B" w14:textId="77777777" w:rsidR="00D46D62" w:rsidRDefault="00D46D62" w:rsidP="00D46D62">
            <w:pPr>
              <w:pStyle w:val="NormalWeb"/>
              <w:jc w:val="center"/>
            </w:pPr>
            <w:r>
              <w:t>15,217</w:t>
            </w:r>
          </w:p>
        </w:tc>
        <w:tc>
          <w:tcPr>
            <w:tcW w:w="0" w:type="auto"/>
            <w:hideMark/>
          </w:tcPr>
          <w:p w14:paraId="535AEB5A" w14:textId="77777777" w:rsidR="00D46D62" w:rsidRDefault="00D46D62" w:rsidP="00D46D62">
            <w:pPr>
              <w:pStyle w:val="NormalWeb"/>
              <w:jc w:val="center"/>
            </w:pPr>
            <w:r>
              <w:t>–</w:t>
            </w:r>
          </w:p>
        </w:tc>
        <w:tc>
          <w:tcPr>
            <w:tcW w:w="0" w:type="auto"/>
            <w:hideMark/>
          </w:tcPr>
          <w:p w14:paraId="6203CC29" w14:textId="77777777" w:rsidR="00D46D62" w:rsidRDefault="00D46D62" w:rsidP="00D46D62">
            <w:pPr>
              <w:pStyle w:val="NormalWeb"/>
              <w:jc w:val="center"/>
            </w:pPr>
            <w:r>
              <w:t>28.1</w:t>
            </w:r>
          </w:p>
        </w:tc>
        <w:tc>
          <w:tcPr>
            <w:tcW w:w="0" w:type="auto"/>
            <w:hideMark/>
          </w:tcPr>
          <w:p w14:paraId="46BC3363" w14:textId="77777777" w:rsidR="00D46D62" w:rsidRDefault="00D46D62" w:rsidP="00D46D62">
            <w:pPr>
              <w:pStyle w:val="NormalWeb"/>
              <w:jc w:val="center"/>
            </w:pPr>
            <w:r>
              <w:t>186,803</w:t>
            </w:r>
          </w:p>
        </w:tc>
        <w:tc>
          <w:tcPr>
            <w:tcW w:w="0" w:type="auto"/>
            <w:hideMark/>
          </w:tcPr>
          <w:p w14:paraId="3D0C256C" w14:textId="77777777" w:rsidR="00D46D62" w:rsidRDefault="00D46D62" w:rsidP="00D46D62">
            <w:pPr>
              <w:pStyle w:val="NormalWeb"/>
              <w:jc w:val="center"/>
            </w:pPr>
            <w:r>
              <w:t>&lt;0.01</w:t>
            </w:r>
          </w:p>
        </w:tc>
        <w:tc>
          <w:tcPr>
            <w:tcW w:w="0" w:type="auto"/>
            <w:hideMark/>
          </w:tcPr>
          <w:p w14:paraId="16046C84" w14:textId="77777777" w:rsidR="00D46D62" w:rsidRDefault="00D46D62" w:rsidP="00D46D62">
            <w:pPr>
              <w:pStyle w:val="NormalWeb"/>
              <w:jc w:val="center"/>
            </w:pPr>
            <w:r>
              <w:t>345.4</w:t>
            </w:r>
          </w:p>
        </w:tc>
      </w:tr>
      <w:tr w:rsidR="00D46D62" w14:paraId="3C56B505" w14:textId="77777777" w:rsidTr="00D46D62">
        <w:tblPrEx>
          <w:tblCellMar>
            <w:top w:w="57" w:type="dxa"/>
            <w:left w:w="57" w:type="dxa"/>
            <w:bottom w:w="57" w:type="dxa"/>
            <w:right w:w="57" w:type="dxa"/>
          </w:tblCellMar>
        </w:tblPrEx>
        <w:tc>
          <w:tcPr>
            <w:tcW w:w="0" w:type="auto"/>
            <w:hideMark/>
          </w:tcPr>
          <w:p w14:paraId="68DC8E94" w14:textId="77777777" w:rsidR="00D46D62" w:rsidRDefault="00D46D62" w:rsidP="00D46D62">
            <w:pPr>
              <w:pStyle w:val="NormalWeb"/>
            </w:pPr>
            <w:r>
              <w:t>Vic.</w:t>
            </w:r>
          </w:p>
        </w:tc>
        <w:tc>
          <w:tcPr>
            <w:tcW w:w="0" w:type="auto"/>
            <w:hideMark/>
          </w:tcPr>
          <w:p w14:paraId="7056C145" w14:textId="77777777" w:rsidR="00D46D62" w:rsidRDefault="00D46D62" w:rsidP="00D46D62">
            <w:pPr>
              <w:pStyle w:val="NormalWeb"/>
              <w:jc w:val="center"/>
            </w:pPr>
            <w:r>
              <w:t>713,074</w:t>
            </w:r>
          </w:p>
        </w:tc>
        <w:tc>
          <w:tcPr>
            <w:tcW w:w="0" w:type="auto"/>
            <w:hideMark/>
          </w:tcPr>
          <w:p w14:paraId="4B41576C" w14:textId="77777777" w:rsidR="00D46D62" w:rsidRDefault="00D46D62" w:rsidP="00D46D62">
            <w:pPr>
              <w:pStyle w:val="NormalWeb"/>
              <w:jc w:val="center"/>
            </w:pPr>
            <w:r>
              <w:t>0.5</w:t>
            </w:r>
          </w:p>
        </w:tc>
        <w:tc>
          <w:tcPr>
            <w:tcW w:w="0" w:type="auto"/>
            <w:hideMark/>
          </w:tcPr>
          <w:p w14:paraId="24C39EAE" w14:textId="77777777" w:rsidR="00D46D62" w:rsidRDefault="00D46D62" w:rsidP="00D46D62">
            <w:pPr>
              <w:pStyle w:val="NormalWeb"/>
              <w:jc w:val="center"/>
            </w:pPr>
            <w:r>
              <w:t>106.5</w:t>
            </w:r>
          </w:p>
        </w:tc>
        <w:tc>
          <w:tcPr>
            <w:tcW w:w="0" w:type="auto"/>
            <w:hideMark/>
          </w:tcPr>
          <w:p w14:paraId="7FAB47E2" w14:textId="77777777" w:rsidR="00D46D62" w:rsidRDefault="00D46D62" w:rsidP="00D46D62">
            <w:pPr>
              <w:pStyle w:val="NormalWeb"/>
              <w:jc w:val="center"/>
            </w:pPr>
            <w:r>
              <w:t>620,838</w:t>
            </w:r>
          </w:p>
        </w:tc>
        <w:tc>
          <w:tcPr>
            <w:tcW w:w="0" w:type="auto"/>
            <w:hideMark/>
          </w:tcPr>
          <w:p w14:paraId="68F19EA9" w14:textId="77777777" w:rsidR="00D46D62" w:rsidRDefault="00D46D62" w:rsidP="00D46D62">
            <w:pPr>
              <w:pStyle w:val="NormalWeb"/>
              <w:jc w:val="center"/>
            </w:pPr>
            <w:r>
              <w:t>0.1</w:t>
            </w:r>
          </w:p>
        </w:tc>
        <w:tc>
          <w:tcPr>
            <w:tcW w:w="0" w:type="auto"/>
            <w:hideMark/>
          </w:tcPr>
          <w:p w14:paraId="1860B973" w14:textId="77777777" w:rsidR="00D46D62" w:rsidRDefault="00D46D62" w:rsidP="00D46D62">
            <w:pPr>
              <w:pStyle w:val="NormalWeb"/>
              <w:jc w:val="center"/>
            </w:pPr>
            <w:r>
              <w:t>92.7</w:t>
            </w:r>
          </w:p>
        </w:tc>
        <w:tc>
          <w:tcPr>
            <w:tcW w:w="0" w:type="auto"/>
            <w:hideMark/>
          </w:tcPr>
          <w:p w14:paraId="51B73483" w14:textId="77777777" w:rsidR="00D46D62" w:rsidRDefault="00D46D62" w:rsidP="00D46D62">
            <w:pPr>
              <w:pStyle w:val="NormalWeb"/>
              <w:jc w:val="center"/>
            </w:pPr>
            <w:r>
              <w:t>5,942,954</w:t>
            </w:r>
          </w:p>
        </w:tc>
        <w:tc>
          <w:tcPr>
            <w:tcW w:w="0" w:type="auto"/>
            <w:hideMark/>
          </w:tcPr>
          <w:p w14:paraId="7C666738" w14:textId="77777777" w:rsidR="00D46D62" w:rsidRDefault="00D46D62" w:rsidP="00D46D62">
            <w:pPr>
              <w:pStyle w:val="NormalWeb"/>
              <w:jc w:val="center"/>
            </w:pPr>
            <w:r>
              <w:t>0.09</w:t>
            </w:r>
          </w:p>
        </w:tc>
        <w:tc>
          <w:tcPr>
            <w:tcW w:w="0" w:type="auto"/>
            <w:hideMark/>
          </w:tcPr>
          <w:p w14:paraId="7F92C32E" w14:textId="77777777" w:rsidR="00D46D62" w:rsidRDefault="00D46D62" w:rsidP="00D46D62">
            <w:pPr>
              <w:pStyle w:val="NormalWeb"/>
              <w:jc w:val="center"/>
            </w:pPr>
            <w:r>
              <w:t>887.5</w:t>
            </w:r>
          </w:p>
        </w:tc>
      </w:tr>
      <w:tr w:rsidR="00D46D62" w14:paraId="6A36A646" w14:textId="77777777" w:rsidTr="00D46D62">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656B5DA7" w14:textId="77777777" w:rsidR="00D46D62" w:rsidRDefault="00D46D62" w:rsidP="00D46D62">
            <w:pPr>
              <w:pStyle w:val="NormalWeb"/>
            </w:pPr>
            <w:r>
              <w:t>WA</w:t>
            </w:r>
          </w:p>
        </w:tc>
        <w:tc>
          <w:tcPr>
            <w:tcW w:w="0" w:type="auto"/>
            <w:hideMark/>
          </w:tcPr>
          <w:p w14:paraId="62F4AB87" w14:textId="77777777" w:rsidR="00D46D62" w:rsidRDefault="00D46D62" w:rsidP="00D46D62">
            <w:pPr>
              <w:pStyle w:val="NormalWeb"/>
              <w:jc w:val="center"/>
            </w:pPr>
            <w:r>
              <w:t>44,710</w:t>
            </w:r>
          </w:p>
        </w:tc>
        <w:tc>
          <w:tcPr>
            <w:tcW w:w="0" w:type="auto"/>
            <w:hideMark/>
          </w:tcPr>
          <w:p w14:paraId="5F654E68" w14:textId="77777777" w:rsidR="00D46D62" w:rsidRDefault="00D46D62" w:rsidP="00D46D62">
            <w:pPr>
              <w:pStyle w:val="NormalWeb"/>
              <w:jc w:val="center"/>
            </w:pPr>
            <w:r>
              <w:t>&lt;0.01</w:t>
            </w:r>
          </w:p>
        </w:tc>
        <w:tc>
          <w:tcPr>
            <w:tcW w:w="0" w:type="auto"/>
            <w:hideMark/>
          </w:tcPr>
          <w:p w14:paraId="4C7DC8FE" w14:textId="77777777" w:rsidR="00D46D62" w:rsidRDefault="00D46D62" w:rsidP="00D46D62">
            <w:pPr>
              <w:pStyle w:val="NormalWeb"/>
              <w:jc w:val="center"/>
            </w:pPr>
            <w:r>
              <w:t>16.8</w:t>
            </w:r>
          </w:p>
        </w:tc>
        <w:tc>
          <w:tcPr>
            <w:tcW w:w="0" w:type="auto"/>
            <w:hideMark/>
          </w:tcPr>
          <w:p w14:paraId="1094909E" w14:textId="77777777" w:rsidR="00D46D62" w:rsidRDefault="00D46D62" w:rsidP="00D46D62">
            <w:pPr>
              <w:pStyle w:val="NormalWeb"/>
              <w:jc w:val="center"/>
            </w:pPr>
            <w:r>
              <w:t>50,646</w:t>
            </w:r>
          </w:p>
        </w:tc>
        <w:tc>
          <w:tcPr>
            <w:tcW w:w="0" w:type="auto"/>
            <w:hideMark/>
          </w:tcPr>
          <w:p w14:paraId="2E7CB6CB" w14:textId="77777777" w:rsidR="00D46D62" w:rsidRDefault="00D46D62" w:rsidP="00D46D62">
            <w:pPr>
              <w:pStyle w:val="NormalWeb"/>
              <w:jc w:val="center"/>
            </w:pPr>
            <w:r>
              <w:t>0.05</w:t>
            </w:r>
          </w:p>
        </w:tc>
        <w:tc>
          <w:tcPr>
            <w:tcW w:w="0" w:type="auto"/>
            <w:hideMark/>
          </w:tcPr>
          <w:p w14:paraId="017D68D6" w14:textId="77777777" w:rsidR="00D46D62" w:rsidRDefault="00D46D62" w:rsidP="00D46D62">
            <w:pPr>
              <w:pStyle w:val="NormalWeb"/>
              <w:jc w:val="center"/>
            </w:pPr>
            <w:r>
              <w:t>19.0</w:t>
            </w:r>
          </w:p>
        </w:tc>
        <w:tc>
          <w:tcPr>
            <w:tcW w:w="0" w:type="auto"/>
            <w:hideMark/>
          </w:tcPr>
          <w:p w14:paraId="432B7A1D" w14:textId="77777777" w:rsidR="00D46D62" w:rsidRDefault="00D46D62" w:rsidP="00D46D62">
            <w:pPr>
              <w:pStyle w:val="NormalWeb"/>
              <w:jc w:val="center"/>
            </w:pPr>
            <w:r>
              <w:t>854,293</w:t>
            </w:r>
          </w:p>
        </w:tc>
        <w:tc>
          <w:tcPr>
            <w:tcW w:w="0" w:type="auto"/>
            <w:hideMark/>
          </w:tcPr>
          <w:p w14:paraId="75F86FFE" w14:textId="77777777" w:rsidR="00D46D62" w:rsidRDefault="00D46D62" w:rsidP="00D46D62">
            <w:pPr>
              <w:pStyle w:val="NormalWeb"/>
              <w:jc w:val="center"/>
            </w:pPr>
            <w:r>
              <w:t>0.09</w:t>
            </w:r>
          </w:p>
        </w:tc>
        <w:tc>
          <w:tcPr>
            <w:tcW w:w="0" w:type="auto"/>
            <w:hideMark/>
          </w:tcPr>
          <w:p w14:paraId="56ED5730" w14:textId="77777777" w:rsidR="00D46D62" w:rsidRDefault="00D46D62" w:rsidP="00D46D62">
            <w:pPr>
              <w:pStyle w:val="NormalWeb"/>
              <w:jc w:val="center"/>
            </w:pPr>
            <w:r>
              <w:t>320.7</w:t>
            </w:r>
          </w:p>
        </w:tc>
      </w:tr>
      <w:tr w:rsidR="00D46D62" w:rsidRPr="00BF32FF" w14:paraId="5FC670C4" w14:textId="77777777" w:rsidTr="00D46D62">
        <w:tblPrEx>
          <w:tblCellMar>
            <w:top w:w="57" w:type="dxa"/>
            <w:left w:w="57" w:type="dxa"/>
            <w:bottom w:w="57" w:type="dxa"/>
            <w:right w:w="57" w:type="dxa"/>
          </w:tblCellMar>
        </w:tblPrEx>
        <w:tc>
          <w:tcPr>
            <w:tcW w:w="0" w:type="auto"/>
            <w:shd w:val="clear" w:color="auto" w:fill="FDE9D9" w:themeFill="accent6" w:themeFillTint="33"/>
            <w:hideMark/>
          </w:tcPr>
          <w:p w14:paraId="4D95C377" w14:textId="77777777" w:rsidR="00D46D62" w:rsidRPr="00BF32FF" w:rsidRDefault="00D46D62" w:rsidP="00D46D62">
            <w:pPr>
              <w:pStyle w:val="NormalWeb"/>
              <w:rPr>
                <w:b/>
                <w:bCs/>
              </w:rPr>
            </w:pPr>
            <w:r w:rsidRPr="00BF32FF">
              <w:rPr>
                <w:b/>
                <w:bCs/>
              </w:rPr>
              <w:t>Australia</w:t>
            </w:r>
          </w:p>
        </w:tc>
        <w:tc>
          <w:tcPr>
            <w:tcW w:w="0" w:type="auto"/>
            <w:shd w:val="clear" w:color="auto" w:fill="FDE9D9" w:themeFill="accent6" w:themeFillTint="33"/>
            <w:hideMark/>
          </w:tcPr>
          <w:p w14:paraId="057885A0" w14:textId="77777777" w:rsidR="00D46D62" w:rsidRPr="00BF32FF" w:rsidRDefault="00D46D62" w:rsidP="00D46D62">
            <w:pPr>
              <w:pStyle w:val="NormalWeb"/>
              <w:jc w:val="center"/>
              <w:rPr>
                <w:b/>
                <w:bCs/>
              </w:rPr>
            </w:pPr>
            <w:r w:rsidRPr="00BF32FF">
              <w:rPr>
                <w:b/>
                <w:bCs/>
              </w:rPr>
              <w:t>1,717,227</w:t>
            </w:r>
            <w:r w:rsidRPr="00077564">
              <w:rPr>
                <w:b/>
                <w:bCs/>
                <w:vertAlign w:val="superscript"/>
              </w:rPr>
              <w:t>c</w:t>
            </w:r>
          </w:p>
        </w:tc>
        <w:tc>
          <w:tcPr>
            <w:tcW w:w="0" w:type="auto"/>
            <w:shd w:val="clear" w:color="auto" w:fill="FDE9D9" w:themeFill="accent6" w:themeFillTint="33"/>
            <w:hideMark/>
          </w:tcPr>
          <w:p w14:paraId="7BAAF2FC" w14:textId="77777777" w:rsidR="00D46D62" w:rsidRPr="00BF32FF" w:rsidRDefault="00D46D62" w:rsidP="00D46D62">
            <w:pPr>
              <w:pStyle w:val="NormalWeb"/>
              <w:jc w:val="center"/>
              <w:rPr>
                <w:b/>
                <w:bCs/>
              </w:rPr>
            </w:pPr>
            <w:r w:rsidRPr="00BF32FF">
              <w:rPr>
                <w:b/>
                <w:bCs/>
              </w:rPr>
              <w:t>0.8</w:t>
            </w:r>
            <w:r w:rsidRPr="00EA5B3B">
              <w:rPr>
                <w:b/>
                <w:bCs/>
                <w:vertAlign w:val="superscript"/>
              </w:rPr>
              <w:t>c</w:t>
            </w:r>
          </w:p>
        </w:tc>
        <w:tc>
          <w:tcPr>
            <w:tcW w:w="0" w:type="auto"/>
            <w:shd w:val="clear" w:color="auto" w:fill="FDE9D9" w:themeFill="accent6" w:themeFillTint="33"/>
            <w:hideMark/>
          </w:tcPr>
          <w:p w14:paraId="68389FA9" w14:textId="77777777" w:rsidR="00D46D62" w:rsidRPr="00BF32FF" w:rsidRDefault="00D46D62" w:rsidP="00D46D62">
            <w:pPr>
              <w:pStyle w:val="NormalWeb"/>
              <w:jc w:val="center"/>
              <w:rPr>
                <w:b/>
                <w:bCs/>
              </w:rPr>
            </w:pPr>
            <w:r w:rsidRPr="00BF32FF">
              <w:rPr>
                <w:b/>
                <w:bCs/>
              </w:rPr>
              <w:t>66.8</w:t>
            </w:r>
            <w:r w:rsidRPr="00EA5B3B">
              <w:rPr>
                <w:b/>
                <w:bCs/>
                <w:vertAlign w:val="superscript"/>
              </w:rPr>
              <w:t>c</w:t>
            </w:r>
          </w:p>
        </w:tc>
        <w:tc>
          <w:tcPr>
            <w:tcW w:w="0" w:type="auto"/>
            <w:shd w:val="clear" w:color="auto" w:fill="FDE9D9" w:themeFill="accent6" w:themeFillTint="33"/>
            <w:hideMark/>
          </w:tcPr>
          <w:p w14:paraId="5F5208CF" w14:textId="77777777" w:rsidR="00D46D62" w:rsidRPr="00BF32FF" w:rsidRDefault="00D46D62" w:rsidP="00D46D62">
            <w:pPr>
              <w:pStyle w:val="NormalWeb"/>
              <w:jc w:val="center"/>
              <w:rPr>
                <w:b/>
                <w:bCs/>
              </w:rPr>
            </w:pPr>
            <w:r w:rsidRPr="00BF32FF">
              <w:rPr>
                <w:b/>
                <w:bCs/>
              </w:rPr>
              <w:t>2,521,431</w:t>
            </w:r>
          </w:p>
        </w:tc>
        <w:tc>
          <w:tcPr>
            <w:tcW w:w="0" w:type="auto"/>
            <w:shd w:val="clear" w:color="auto" w:fill="FDE9D9" w:themeFill="accent6" w:themeFillTint="33"/>
            <w:hideMark/>
          </w:tcPr>
          <w:p w14:paraId="6928D50C" w14:textId="77777777" w:rsidR="00D46D62" w:rsidRPr="00BF32FF" w:rsidRDefault="00D46D62" w:rsidP="00D46D62">
            <w:pPr>
              <w:pStyle w:val="NormalWeb"/>
              <w:jc w:val="center"/>
              <w:rPr>
                <w:b/>
                <w:bCs/>
              </w:rPr>
            </w:pPr>
            <w:r w:rsidRPr="00BF32FF">
              <w:rPr>
                <w:b/>
                <w:bCs/>
              </w:rPr>
              <w:t>0.5</w:t>
            </w:r>
          </w:p>
        </w:tc>
        <w:tc>
          <w:tcPr>
            <w:tcW w:w="0" w:type="auto"/>
            <w:shd w:val="clear" w:color="auto" w:fill="FDE9D9" w:themeFill="accent6" w:themeFillTint="33"/>
            <w:hideMark/>
          </w:tcPr>
          <w:p w14:paraId="5E82241F" w14:textId="77777777" w:rsidR="00D46D62" w:rsidRPr="00BF32FF" w:rsidRDefault="00D46D62" w:rsidP="00D46D62">
            <w:pPr>
              <w:pStyle w:val="NormalWeb"/>
              <w:jc w:val="center"/>
              <w:rPr>
                <w:b/>
                <w:bCs/>
              </w:rPr>
            </w:pPr>
            <w:r w:rsidRPr="00BF32FF">
              <w:rPr>
                <w:b/>
                <w:bCs/>
              </w:rPr>
              <w:t>98.1</w:t>
            </w:r>
          </w:p>
        </w:tc>
        <w:tc>
          <w:tcPr>
            <w:tcW w:w="0" w:type="auto"/>
            <w:shd w:val="clear" w:color="auto" w:fill="FDE9D9" w:themeFill="accent6" w:themeFillTint="33"/>
            <w:hideMark/>
          </w:tcPr>
          <w:p w14:paraId="41B08F48" w14:textId="77777777" w:rsidR="00D46D62" w:rsidRPr="00BF32FF" w:rsidRDefault="00D46D62" w:rsidP="00D46D62">
            <w:pPr>
              <w:pStyle w:val="NormalWeb"/>
              <w:jc w:val="center"/>
              <w:rPr>
                <w:b/>
                <w:bCs/>
              </w:rPr>
            </w:pPr>
            <w:r w:rsidRPr="00BF32FF">
              <w:rPr>
                <w:b/>
                <w:bCs/>
              </w:rPr>
              <w:t>17,422,641</w:t>
            </w:r>
            <w:r w:rsidRPr="00077564">
              <w:rPr>
                <w:b/>
                <w:bCs/>
                <w:vertAlign w:val="superscript"/>
              </w:rPr>
              <w:t>c</w:t>
            </w:r>
          </w:p>
        </w:tc>
        <w:tc>
          <w:tcPr>
            <w:tcW w:w="0" w:type="auto"/>
            <w:shd w:val="clear" w:color="auto" w:fill="FDE9D9" w:themeFill="accent6" w:themeFillTint="33"/>
            <w:hideMark/>
          </w:tcPr>
          <w:p w14:paraId="2D7584B7" w14:textId="77777777" w:rsidR="00D46D62" w:rsidRPr="00BF32FF" w:rsidRDefault="00D46D62" w:rsidP="00D46D62">
            <w:pPr>
              <w:pStyle w:val="NormalWeb"/>
              <w:jc w:val="center"/>
              <w:rPr>
                <w:b/>
                <w:bCs/>
              </w:rPr>
            </w:pPr>
            <w:r w:rsidRPr="00BF32FF">
              <w:rPr>
                <w:b/>
                <w:bCs/>
              </w:rPr>
              <w:t>0.2</w:t>
            </w:r>
            <w:r w:rsidRPr="00EA5B3B">
              <w:rPr>
                <w:b/>
                <w:bCs/>
                <w:vertAlign w:val="superscript"/>
              </w:rPr>
              <w:t>c</w:t>
            </w:r>
          </w:p>
        </w:tc>
        <w:tc>
          <w:tcPr>
            <w:tcW w:w="0" w:type="auto"/>
            <w:shd w:val="clear" w:color="auto" w:fill="FDE9D9" w:themeFill="accent6" w:themeFillTint="33"/>
            <w:hideMark/>
          </w:tcPr>
          <w:p w14:paraId="107125DE" w14:textId="77777777" w:rsidR="00D46D62" w:rsidRPr="00BF32FF" w:rsidRDefault="00D46D62" w:rsidP="00D46D62">
            <w:pPr>
              <w:pStyle w:val="NormalWeb"/>
              <w:jc w:val="center"/>
              <w:rPr>
                <w:b/>
                <w:bCs/>
              </w:rPr>
            </w:pPr>
            <w:r w:rsidRPr="00BF32FF">
              <w:rPr>
                <w:b/>
                <w:bCs/>
              </w:rPr>
              <w:t>678.0</w:t>
            </w:r>
            <w:r w:rsidRPr="00077564">
              <w:rPr>
                <w:b/>
                <w:bCs/>
                <w:vertAlign w:val="superscript"/>
              </w:rPr>
              <w:t>c</w:t>
            </w:r>
          </w:p>
        </w:tc>
      </w:tr>
    </w:tbl>
    <w:p w14:paraId="5AE0F51B" w14:textId="77777777" w:rsidR="00D46D62" w:rsidRDefault="00D46D62" w:rsidP="00D46D62">
      <w:pPr>
        <w:pStyle w:val="CDIfootnotes"/>
        <w:rPr>
          <w:lang w:val="en-GB"/>
        </w:rPr>
      </w:pPr>
      <w:proofErr w:type="spellStart"/>
      <w:r>
        <w:rPr>
          <w:lang w:val="en-GB"/>
        </w:rPr>
        <w:t>a</w:t>
      </w:r>
      <w:proofErr w:type="spellEnd"/>
      <w:r>
        <w:rPr>
          <w:lang w:val="en-GB"/>
        </w:rPr>
        <w:tab/>
      </w:r>
      <w:proofErr w:type="gramStart"/>
      <w:r>
        <w:rPr>
          <w:lang w:val="en-GB"/>
        </w:rPr>
        <w:t>In</w:t>
      </w:r>
      <w:proofErr w:type="gramEnd"/>
      <w:r>
        <w:rPr>
          <w:lang w:val="en-GB"/>
        </w:rPr>
        <w:t xml:space="preserve"> order to more accurately reflect positivity rates, numbers of individuals tested is presented rather than total number of tests. The number of individuals tested is the sum of number of individuals tested in each week (Saturday to Friday) in each jurisdiction. Individuals who were tested in more than one week could be counted more than once.</w:t>
      </w:r>
    </w:p>
    <w:p w14:paraId="0327E7DA" w14:textId="77777777" w:rsidR="00D46D62" w:rsidRDefault="00D46D62" w:rsidP="00D46D62">
      <w:pPr>
        <w:pStyle w:val="CDIfootnotes"/>
        <w:rPr>
          <w:lang w:val="en-GB"/>
        </w:rPr>
      </w:pPr>
      <w:r>
        <w:rPr>
          <w:lang w:val="en-GB"/>
        </w:rPr>
        <w:t xml:space="preserve">b </w:t>
      </w:r>
      <w:r>
        <w:rPr>
          <w:lang w:val="en-GB"/>
        </w:rPr>
        <w:tab/>
        <w:t>Population data based on Australian Bureau of Statistics (ABS) Estimated Resident Population (ERP) as at June 2020.</w:t>
      </w:r>
    </w:p>
    <w:p w14:paraId="082B363E" w14:textId="77777777" w:rsidR="001957FA" w:rsidRDefault="00D46D62" w:rsidP="00D46D62">
      <w:pPr>
        <w:pStyle w:val="CDIfootnotes"/>
        <w:rPr>
          <w:lang w:val="en-GB"/>
        </w:rPr>
        <w:sectPr w:rsidR="001957FA" w:rsidSect="001957FA">
          <w:footnotePr>
            <w:numFmt w:val="lowerRoman"/>
          </w:footnotePr>
          <w:pgSz w:w="16838" w:h="11906" w:orient="landscape"/>
          <w:pgMar w:top="720" w:right="720" w:bottom="720" w:left="1134" w:header="709" w:footer="284" w:gutter="0"/>
          <w:cols w:space="708"/>
          <w:titlePg/>
          <w:docGrid w:linePitch="360"/>
        </w:sectPr>
      </w:pPr>
      <w:r>
        <w:rPr>
          <w:lang w:val="en-GB"/>
        </w:rPr>
        <w:t>C</w:t>
      </w:r>
      <w:r>
        <w:rPr>
          <w:lang w:val="en-GB"/>
        </w:rPr>
        <w:tab/>
        <w:t>From 19 June 2021 to 16 July 2021, data for New South Wales were unavailable. From 28 August 2021 to 3 September 2021, data for New South Wales and the Australian Capital Territory were unavailable. Positivity rates are calculated using the number of cases reported in time periods where testing data were available.</w:t>
      </w:r>
    </w:p>
    <w:p w14:paraId="2CF63DE9" w14:textId="4865E5BC" w:rsidR="00D46D62" w:rsidRDefault="00D46D62" w:rsidP="00D46D62">
      <w:pPr>
        <w:pStyle w:val="CDIfootnotes"/>
        <w:rPr>
          <w:lang w:val="en-GB"/>
        </w:rPr>
      </w:pPr>
    </w:p>
    <w:p w14:paraId="11E7AB5D" w14:textId="77777777" w:rsidR="00D46D62" w:rsidRPr="00077564" w:rsidRDefault="00D46D62" w:rsidP="00D46D62">
      <w:pPr>
        <w:pStyle w:val="CDIFigures"/>
      </w:pPr>
      <w:r w:rsidRPr="00077564">
        <w:rPr>
          <w:rStyle w:val="Strong"/>
          <w:b/>
          <w:bCs w:val="0"/>
        </w:rPr>
        <w:t>Figure 5: SARS-CoV-2 polymerase chain reaction (PCR) testing rates per 1,000 population per week by age group and notification received date, Australia, 1 January – 12 September 2021</w:t>
      </w:r>
      <w:proofErr w:type="gramStart"/>
      <w:r w:rsidRPr="00077564">
        <w:rPr>
          <w:rStyle w:val="Strong"/>
          <w:b/>
          <w:bCs w:val="0"/>
          <w:vertAlign w:val="superscript"/>
        </w:rPr>
        <w:t>a,b</w:t>
      </w:r>
      <w:proofErr w:type="gramEnd"/>
      <w:r w:rsidRPr="00077564">
        <w:rPr>
          <w:rStyle w:val="Strong"/>
          <w:b/>
          <w:bCs w:val="0"/>
          <w:vertAlign w:val="superscript"/>
        </w:rPr>
        <w:t>,c</w:t>
      </w:r>
    </w:p>
    <w:p w14:paraId="7FA5DC8F" w14:textId="77777777" w:rsidR="00D46D62" w:rsidRDefault="00D46D62" w:rsidP="00D46D62">
      <w:pPr>
        <w:pStyle w:val="NormalWeb"/>
        <w:rPr>
          <w:lang w:val="en-GB"/>
        </w:rPr>
      </w:pPr>
      <w:r>
        <w:rPr>
          <w:noProof/>
          <w:lang w:val="en-GB"/>
        </w:rPr>
        <w:drawing>
          <wp:inline distT="0" distB="0" distL="0" distR="0" wp14:anchorId="19F14BC2" wp14:editId="1B02B2A1">
            <wp:extent cx="6576543" cy="4351936"/>
            <wp:effectExtent l="0" t="0" r="0" b="0"/>
            <wp:docPr id="10" name="Picture 10"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110 tests per 1,000 population in the week ending 13 August 202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line graph showing the reported SARS-CoV-2 PCR testing rate per 1,000 population each week by age group, for the calendar year to date. Weekly testing rates for all age groups have fluctuated during the calendar year and have escalated substantially since mid-July with the high case numbers recorded in the continuing Sydney Metropolitan Outbreak. Throughout 2021 to date, the highest testing rate has been seen in the 20–39 year age group, peaking at approximately 110 tests per 1,000 population in the week ending 13 August 2021.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590360" cy="4361079"/>
                    </a:xfrm>
                    <a:prstGeom prst="rect">
                      <a:avLst/>
                    </a:prstGeom>
                  </pic:spPr>
                </pic:pic>
              </a:graphicData>
            </a:graphic>
          </wp:inline>
        </w:drawing>
      </w:r>
    </w:p>
    <w:p w14:paraId="190B489F" w14:textId="77777777" w:rsidR="00D46D62" w:rsidRDefault="00D46D62" w:rsidP="00D46D62">
      <w:pPr>
        <w:pStyle w:val="CDIfootnotes"/>
        <w:rPr>
          <w:lang w:val="en-GB"/>
        </w:rPr>
      </w:pPr>
      <w:r>
        <w:rPr>
          <w:lang w:val="en-GB"/>
        </w:rPr>
        <w:t xml:space="preserve">a </w:t>
      </w:r>
      <w:r>
        <w:rPr>
          <w:lang w:val="en-GB"/>
        </w:rPr>
        <w:tab/>
        <w:t>Source: data provided by jurisdictions to the NIR weekly, current to 12 September 2021.</w:t>
      </w:r>
    </w:p>
    <w:p w14:paraId="60EDBA2D" w14:textId="77777777" w:rsidR="00D46D62" w:rsidRDefault="00D46D62" w:rsidP="00D46D62">
      <w:pPr>
        <w:pStyle w:val="CDIfootnotes"/>
        <w:rPr>
          <w:lang w:val="en-GB"/>
        </w:rPr>
      </w:pPr>
      <w:r>
        <w:rPr>
          <w:lang w:val="en-GB"/>
        </w:rPr>
        <w:t>b</w:t>
      </w:r>
      <w:r>
        <w:rPr>
          <w:lang w:val="en-GB"/>
        </w:rPr>
        <w:tab/>
      </w:r>
      <w:proofErr w:type="gramStart"/>
      <w:r>
        <w:rPr>
          <w:lang w:val="en-GB"/>
        </w:rPr>
        <w:t>The</w:t>
      </w:r>
      <w:proofErr w:type="gramEnd"/>
      <w:r>
        <w:rPr>
          <w:lang w:val="en-GB"/>
        </w:rPr>
        <w:t xml:space="preserve"> jurisdictions reporting each week (i.e. the denominator population) may vary.</w:t>
      </w:r>
    </w:p>
    <w:p w14:paraId="1B0C35F4" w14:textId="77777777" w:rsidR="00D46D62" w:rsidRDefault="00D46D62" w:rsidP="00D46D62">
      <w:pPr>
        <w:pStyle w:val="CDIfootnotes"/>
        <w:rPr>
          <w:lang w:val="en-GB"/>
        </w:rPr>
      </w:pPr>
      <w:r>
        <w:rPr>
          <w:lang w:val="en-GB"/>
        </w:rPr>
        <w:t>c</w:t>
      </w:r>
      <w:r>
        <w:rPr>
          <w:lang w:val="en-GB"/>
        </w:rPr>
        <w:tab/>
      </w:r>
      <w:proofErr w:type="gramStart"/>
      <w:r>
        <w:rPr>
          <w:lang w:val="en-GB"/>
        </w:rPr>
        <w:t>From</w:t>
      </w:r>
      <w:proofErr w:type="gramEnd"/>
      <w:r>
        <w:rPr>
          <w:lang w:val="en-GB"/>
        </w:rPr>
        <w:t xml:space="preserve"> 19 June 2021 to 16 July 2021, data for New South Wales were unavailable. From 28 August to 3 September 2021, data for New South Wales and the Australian Capital Territory were unavailable.</w:t>
      </w:r>
    </w:p>
    <w:p w14:paraId="4E47B7AA" w14:textId="77777777" w:rsidR="001957FA" w:rsidRDefault="001957FA" w:rsidP="00D46D62">
      <w:pPr>
        <w:pStyle w:val="CDIFigures"/>
        <w:rPr>
          <w:rStyle w:val="Strong"/>
          <w:b/>
          <w:bCs w:val="0"/>
        </w:rPr>
        <w:sectPr w:rsidR="001957FA" w:rsidSect="00A30C37">
          <w:footnotePr>
            <w:numFmt w:val="lowerRoman"/>
          </w:footnotePr>
          <w:pgSz w:w="11906" w:h="16838"/>
          <w:pgMar w:top="720" w:right="720" w:bottom="1134" w:left="720" w:header="709" w:footer="284" w:gutter="0"/>
          <w:cols w:space="708"/>
          <w:titlePg/>
          <w:docGrid w:linePitch="360"/>
        </w:sectPr>
      </w:pPr>
    </w:p>
    <w:p w14:paraId="3E7E90CE" w14:textId="7CCC8CEF" w:rsidR="00D46D62" w:rsidRPr="0011436F" w:rsidRDefault="00D46D62" w:rsidP="00D46D62">
      <w:pPr>
        <w:pStyle w:val="CDIFigures"/>
      </w:pPr>
      <w:r w:rsidRPr="0011436F">
        <w:rPr>
          <w:rStyle w:val="Strong"/>
          <w:b/>
          <w:bCs w:val="0"/>
        </w:rPr>
        <w:lastRenderedPageBreak/>
        <w:t xml:space="preserve">Figure 6: Weekly trends in respiratory illness amongst </w:t>
      </w:r>
      <w:proofErr w:type="spellStart"/>
      <w:r w:rsidRPr="0011436F">
        <w:rPr>
          <w:rStyle w:val="Strong"/>
          <w:b/>
          <w:bCs w:val="0"/>
        </w:rPr>
        <w:t>FluTracking</w:t>
      </w:r>
      <w:proofErr w:type="spellEnd"/>
      <w:r w:rsidRPr="0011436F">
        <w:rPr>
          <w:rStyle w:val="Strong"/>
          <w:b/>
          <w:bCs w:val="0"/>
        </w:rPr>
        <w:t xml:space="preserve"> survey participants (age-standardised) compared to the average of the previous five years, Australia, by epidemiological </w:t>
      </w:r>
      <w:proofErr w:type="spellStart"/>
      <w:proofErr w:type="gramStart"/>
      <w:r w:rsidRPr="0011436F">
        <w:rPr>
          <w:rStyle w:val="Strong"/>
          <w:b/>
          <w:bCs w:val="0"/>
        </w:rPr>
        <w:t>week,</w:t>
      </w:r>
      <w:r w:rsidRPr="0011436F">
        <w:rPr>
          <w:rStyle w:val="Strong"/>
          <w:b/>
          <w:bCs w:val="0"/>
          <w:vertAlign w:val="superscript"/>
        </w:rPr>
        <w:t>a</w:t>
      </w:r>
      <w:proofErr w:type="spellEnd"/>
      <w:proofErr w:type="gramEnd"/>
      <w:r w:rsidRPr="0011436F">
        <w:rPr>
          <w:rStyle w:val="Strong"/>
          <w:b/>
          <w:bCs w:val="0"/>
        </w:rPr>
        <w:t xml:space="preserve"> 1 March 2020 – 12 September 2021</w:t>
      </w:r>
      <w:r w:rsidRPr="0011436F">
        <w:rPr>
          <w:rStyle w:val="Strong"/>
          <w:b/>
          <w:bCs w:val="0"/>
          <w:vertAlign w:val="superscript"/>
        </w:rPr>
        <w:t>b</w:t>
      </w:r>
    </w:p>
    <w:p w14:paraId="18860D66" w14:textId="77777777" w:rsidR="00D46D62" w:rsidRDefault="00D46D62" w:rsidP="00D46D62">
      <w:pPr>
        <w:pStyle w:val="NormalWeb"/>
        <w:rPr>
          <w:lang w:val="en-GB"/>
        </w:rPr>
      </w:pPr>
      <w:r>
        <w:rPr>
          <w:noProof/>
          <w:lang w:val="en-GB"/>
        </w:rPr>
        <w:drawing>
          <wp:inline distT="0" distB="0" distL="0" distR="0" wp14:anchorId="23918046" wp14:editId="726DC692">
            <wp:extent cx="6527002" cy="4153038"/>
            <wp:effectExtent l="0" t="0" r="7620" b="0"/>
            <wp:docPr id="11" name="Picture 11"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generally higher across the four weeks of the current reporting period than in the corresponding epidemiological weeks of 2020, but remain nonetheless substantially lower than the average 'fever and cough'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line graph comparing weekly fever and cough notifications, by epidemiological week and as an age-standardised percentage of FluTracking survey participants, since 1 March 2020 with the averaged notifications each week for the years 2015–2019. Percentages of survey respondents reporting fever and cough symptoms are generally higher across the four weeks of the current reporting period than in the corresponding epidemiological weeks of 2020, but remain nonetheless substantially lower than the average 'fever and cough' reporting percentage for the same weeks across 2015–2019. Percentages of respondents reporting runny nose and sore throat symptoms are generally slightly lower for the four weeks of the current reporting period than in the corresponding epidemiological weeks of 2020; no FluTracking data are available for these symptoms for the years 2015–201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6527002" cy="4153038"/>
                    </a:xfrm>
                    <a:prstGeom prst="rect">
                      <a:avLst/>
                    </a:prstGeom>
                  </pic:spPr>
                </pic:pic>
              </a:graphicData>
            </a:graphic>
          </wp:inline>
        </w:drawing>
      </w:r>
    </w:p>
    <w:p w14:paraId="69BCBE5F" w14:textId="77777777" w:rsidR="00D46D62" w:rsidRDefault="00D46D62" w:rsidP="00D46D62">
      <w:pPr>
        <w:pStyle w:val="CDIfootnotes"/>
        <w:rPr>
          <w:lang w:val="en-GB"/>
        </w:rPr>
      </w:pPr>
      <w:proofErr w:type="spellStart"/>
      <w:proofErr w:type="gramStart"/>
      <w:r>
        <w:rPr>
          <w:lang w:val="en-GB"/>
        </w:rPr>
        <w:t>a</w:t>
      </w:r>
      <w:proofErr w:type="spellEnd"/>
      <w:proofErr w:type="gramEnd"/>
      <w:r>
        <w:rPr>
          <w:lang w:val="en-GB"/>
        </w:rPr>
        <w:t xml:space="preserve"> </w:t>
      </w:r>
      <w:r>
        <w:rPr>
          <w:lang w:val="en-GB"/>
        </w:rPr>
        <w:tab/>
        <w:t>Epidemiological weeks are a standardised method for numbering weeks across years, with the first epidemiological week of any year ending on the first Saturday in January.</w:t>
      </w:r>
    </w:p>
    <w:p w14:paraId="08E024D2" w14:textId="77777777" w:rsidR="00D46D62" w:rsidRDefault="00D46D62" w:rsidP="00D46D62">
      <w:pPr>
        <w:pStyle w:val="CDIfootnotes"/>
        <w:rPr>
          <w:lang w:val="en-GB"/>
        </w:rPr>
      </w:pPr>
      <w:r>
        <w:rPr>
          <w:lang w:val="en-GB"/>
        </w:rPr>
        <w:t xml:space="preserve">b </w:t>
      </w:r>
      <w:r>
        <w:rPr>
          <w:lang w:val="en-GB"/>
        </w:rPr>
        <w:tab/>
      </w:r>
      <w:proofErr w:type="gramStart"/>
      <w:r>
        <w:rPr>
          <w:lang w:val="en-GB"/>
        </w:rPr>
        <w:t>In</w:t>
      </w:r>
      <w:proofErr w:type="gramEnd"/>
      <w:r>
        <w:rPr>
          <w:lang w:val="en-GB"/>
        </w:rPr>
        <w:t xml:space="preserve"> years prior to 2020, </w:t>
      </w:r>
      <w:proofErr w:type="spellStart"/>
      <w:r>
        <w:rPr>
          <w:lang w:val="en-GB"/>
        </w:rPr>
        <w:t>FluTracking</w:t>
      </w:r>
      <w:proofErr w:type="spellEnd"/>
      <w:r>
        <w:rPr>
          <w:lang w:val="en-GB"/>
        </w:rPr>
        <w:t xml:space="preserve"> was activated during the main Influenza season from May to October. A historical average beyond the week ending 11 October (epidemiological week 41) is therefore not available. In 2020, </w:t>
      </w:r>
      <w:proofErr w:type="spellStart"/>
      <w:r>
        <w:rPr>
          <w:lang w:val="en-GB"/>
        </w:rPr>
        <w:t>FluTracking</w:t>
      </w:r>
      <w:proofErr w:type="spellEnd"/>
      <w:r>
        <w:rPr>
          <w:lang w:val="en-GB"/>
        </w:rPr>
        <w:t xml:space="preserve"> commenced ten weeks early to capture data for COVID-19. Data on runny nose and sore throat were only collected systematically after 29 March 2020, therefore a historical average for this symptom profile is unavailable.</w:t>
      </w:r>
    </w:p>
    <w:p w14:paraId="1727CEF9" w14:textId="77777777" w:rsidR="00612295" w:rsidRPr="003D48C0" w:rsidRDefault="00612295" w:rsidP="003D48C0">
      <w:pPr>
        <w:pStyle w:val="Heading2"/>
      </w:pPr>
      <w:r w:rsidRPr="003D48C0">
        <w:t xml:space="preserve">Acute respiratory illness </w:t>
      </w:r>
    </w:p>
    <w:p w14:paraId="6D3BEA6A" w14:textId="77777777" w:rsidR="00612295" w:rsidRPr="003D48C0" w:rsidRDefault="00612295" w:rsidP="003D48C0">
      <w:pPr>
        <w:pStyle w:val="Heading3"/>
        <w:rPr>
          <w:i/>
          <w:iCs/>
        </w:rPr>
      </w:pPr>
      <w:r w:rsidRPr="003D48C0">
        <w:rPr>
          <w:i/>
          <w:iCs/>
        </w:rPr>
        <w:t>(</w:t>
      </w:r>
      <w:proofErr w:type="spellStart"/>
      <w:r w:rsidRPr="003D48C0">
        <w:rPr>
          <w:i/>
          <w:iCs/>
        </w:rPr>
        <w:t>FluTracking</w:t>
      </w:r>
      <w:proofErr w:type="spellEnd"/>
      <w:r w:rsidRPr="003D48C0">
        <w:rPr>
          <w:i/>
          <w:iCs/>
        </w:rPr>
        <w:t xml:space="preserve">, ASPREN, and Commonwealth Respiratory Clinics) </w:t>
      </w:r>
    </w:p>
    <w:p w14:paraId="2E9CDB0C" w14:textId="77777777" w:rsidR="00612295" w:rsidRDefault="00612295" w:rsidP="003D48C0">
      <w:r>
        <w:t xml:space="preserve">Based on self-reported </w:t>
      </w:r>
      <w:proofErr w:type="spellStart"/>
      <w:r>
        <w:t>FluTracking</w:t>
      </w:r>
      <w:proofErr w:type="spellEnd"/>
      <w:r>
        <w:t xml:space="preserve"> data,</w:t>
      </w:r>
      <w:r>
        <w:rPr>
          <w:vertAlign w:val="superscript"/>
        </w:rPr>
        <w:t>9</w:t>
      </w:r>
      <w:r>
        <w:t xml:space="preserve"> prevalence of fever and cough in the community remained at &lt; </w:t>
      </w:r>
      <w:proofErr w:type="gramStart"/>
      <w:r>
        <w:t>1%, and</w:t>
      </w:r>
      <w:proofErr w:type="gramEnd"/>
      <w:r>
        <w:t xml:space="preserve"> was slightly lower than that reported in the previous four-week reporting period (Figure 6). Runny nose and sore throat symptoms in the community were similar during this reporting period compared to the previous four weeks, with the prevalence in the community remaining low at &lt; 1%. </w:t>
      </w:r>
    </w:p>
    <w:p w14:paraId="528C1C9F" w14:textId="77777777" w:rsidR="00612295" w:rsidRDefault="00612295" w:rsidP="003D48C0">
      <w:r>
        <w:t xml:space="preserve">In this reporting period, acute respiratory illness was highest in those aged 0 to 9 years and 30 to 39 years, based on both self-reported </w:t>
      </w:r>
      <w:proofErr w:type="spellStart"/>
      <w:r>
        <w:t>FluTracking</w:t>
      </w:r>
      <w:proofErr w:type="spellEnd"/>
      <w:r>
        <w:t xml:space="preserve"> data and presentations to Commonwealth Respiratory Clinics. Females reported respiratory illness more frequently than males. Rates of fever and cough by jurisdiction ranged from 2.0/1,000 </w:t>
      </w:r>
      <w:proofErr w:type="spellStart"/>
      <w:r>
        <w:t>FluTracking</w:t>
      </w:r>
      <w:proofErr w:type="spellEnd"/>
      <w:r>
        <w:t xml:space="preserve"> participants in New South Wales to 7.7/1,000 participants in Western Australia. </w:t>
      </w:r>
    </w:p>
    <w:p w14:paraId="6432E19E" w14:textId="77777777" w:rsidR="00612295" w:rsidRDefault="00612295" w:rsidP="003D48C0">
      <w:proofErr w:type="spellStart"/>
      <w:r>
        <w:t>FluTracking</w:t>
      </w:r>
      <w:proofErr w:type="spellEnd"/>
      <w:r>
        <w:t xml:space="preserve"> data indicated that 50% of those in the community with ‘fever and cough’ and 40% of those with ‘runny nose and sore throat’ were tested for SARS-CoV-2. This represents a slight decrease in SARS-CoV-2 testing for ‘sore throat and runny nose’ and for ‘fever and cough’ since the previous reporting period. In the four-week reporting period, testing rates were highest in Victoria and lowest in Western Australia for both sets of symptoms. It is important to acknowledge that there may be legitimate reasons why people did not get tested, including barriers to </w:t>
      </w:r>
      <w:r>
        <w:lastRenderedPageBreak/>
        <w:t xml:space="preserve">accessing testing. Symptoms reported to </w:t>
      </w:r>
      <w:proofErr w:type="spellStart"/>
      <w:r>
        <w:t>FluTracking</w:t>
      </w:r>
      <w:proofErr w:type="spellEnd"/>
      <w:r>
        <w:t xml:space="preserve"> are not specific to COVID-19 and may also be due to chronic diseases. </w:t>
      </w:r>
    </w:p>
    <w:p w14:paraId="0F064CC8" w14:textId="77777777" w:rsidR="00612295" w:rsidRDefault="00612295" w:rsidP="003D48C0">
      <w:r>
        <w:t xml:space="preserve">During this reporting period, there were 155,951 assessments at Commonwealth Respiratory Clinics. Of these, there were 141,358 assessments with consent to share information, with 97% (137,055/141,358) tested for SARS-CoV-2. There were 250 cases reported at these clinics in this reporting period, representing a percent positivity of &lt; 1% (250/137,055). </w:t>
      </w:r>
    </w:p>
    <w:p w14:paraId="7FBC5B16" w14:textId="77777777" w:rsidR="00612295" w:rsidRDefault="00612295" w:rsidP="003D48C0">
      <w:r>
        <w:t>Among those tested through the Australian Sentinel Practice Research Network (ASPREN) and Victorian Sentinel Practice Influenza Network (</w:t>
      </w:r>
      <w:proofErr w:type="spellStart"/>
      <w:r>
        <w:t>VicSPIN</w:t>
      </w:r>
      <w:proofErr w:type="spellEnd"/>
      <w:r>
        <w:t xml:space="preserve">) general practitioner sentinel surveillance systems, rhinovirus was the most common respiratory virus detected in patients presenting with influenza-like illness in this reporting period. </w:t>
      </w:r>
    </w:p>
    <w:p w14:paraId="77FF514D" w14:textId="77777777" w:rsidR="00612295" w:rsidRPr="003D48C0" w:rsidRDefault="00612295" w:rsidP="003D48C0">
      <w:pPr>
        <w:pStyle w:val="Heading2"/>
      </w:pPr>
      <w:r w:rsidRPr="003D48C0">
        <w:t xml:space="preserve">Public health response measures </w:t>
      </w:r>
    </w:p>
    <w:p w14:paraId="18DEEFFC" w14:textId="77777777" w:rsidR="00612295" w:rsidRDefault="00612295" w:rsidP="003D48C0">
      <w:r>
        <w:t>Since COVID-19 first emerged internationally, Australia has implemented public health measures informed by the disease’s epidemiology. States and territories have decision-making authority in relation to public health measures and have implemented or eased restrictions at their own pace (Figure 7; Appendix A, Table A.2), depending on the local public health and epidemiological situation, and in line with the ‘Framework for National Reopening’.</w:t>
      </w:r>
      <w:r>
        <w:rPr>
          <w:vertAlign w:val="superscript"/>
        </w:rPr>
        <w:t xml:space="preserve">10 </w:t>
      </w:r>
      <w:r>
        <w:t>Nationwide requirements regarding air travel, including pre-flight testing for travellers entering Australia and requirements to wear face masks when flying domestically or internationally, remain in place. During the current reporting period, there was community transmission occurring in the Australian Capital Territory, New South Wales, the Northern Territory, Queensland, and Victoria.</w:t>
      </w:r>
    </w:p>
    <w:p w14:paraId="4F1972BA" w14:textId="77777777" w:rsidR="00D46D62" w:rsidRDefault="00D46D62">
      <w:pPr>
        <w:rPr>
          <w:rStyle w:val="Strong"/>
          <w:lang w:val="en-GB"/>
        </w:rPr>
        <w:sectPr w:rsidR="00D46D62" w:rsidSect="00A30C37">
          <w:footnotePr>
            <w:numFmt w:val="lowerRoman"/>
          </w:footnotePr>
          <w:pgSz w:w="11906" w:h="16838"/>
          <w:pgMar w:top="720" w:right="720" w:bottom="1134" w:left="720" w:header="709" w:footer="284" w:gutter="0"/>
          <w:cols w:space="708"/>
          <w:titlePg/>
          <w:docGrid w:linePitch="360"/>
        </w:sectPr>
      </w:pPr>
    </w:p>
    <w:p w14:paraId="78951F5B" w14:textId="77777777" w:rsidR="00D46D62" w:rsidRPr="0011436F" w:rsidRDefault="00D46D62" w:rsidP="00D46D62">
      <w:pPr>
        <w:pStyle w:val="CDIFigures"/>
      </w:pPr>
      <w:r w:rsidRPr="0011436F">
        <w:rPr>
          <w:rStyle w:val="Strong"/>
          <w:b/>
          <w:bCs w:val="0"/>
        </w:rPr>
        <w:lastRenderedPageBreak/>
        <w:t>Figure 7: COVID-19 notifications in Australia by week of diagnosis and jurisdiction, 1 January – 12 September 2021, with timing of key public health measures</w:t>
      </w:r>
    </w:p>
    <w:p w14:paraId="0BE0E930" w14:textId="77777777" w:rsidR="00D46D62" w:rsidRDefault="00D46D62" w:rsidP="00D46D62">
      <w:pPr>
        <w:rPr>
          <w:rFonts w:eastAsia="Times New Roman"/>
          <w:lang w:val="en-GB"/>
        </w:rPr>
      </w:pPr>
      <w:r>
        <w:rPr>
          <w:rFonts w:eastAsia="Times New Roman"/>
          <w:noProof/>
          <w:lang w:val="en-GB"/>
        </w:rPr>
        <w:drawing>
          <wp:inline distT="0" distB="0" distL="0" distR="0" wp14:anchorId="4E5E851E" wp14:editId="518B7C04">
            <wp:extent cx="8476505" cy="5690628"/>
            <wp:effectExtent l="0" t="0" r="1270" b="5715"/>
            <wp:docPr id="12" name="Picture 12" descr="A bar chart showing COVID-19 notifications by week of diagnosis and jurisdiction, for cases reported to NNDSS during the current calendar year. Notifications for the cases shown have diagnosis weeks ending from 3 January 2021 to 12 September 2021. The chart also highlights the timing of key public health measures such as quarantine and self-isolation advice and restrictions on gatherings and tra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bar chart showing COVID-19 notifications by week of diagnosis and jurisdiction, for cases reported to NNDSS during the current calendar year. Notifications for the cases shown have diagnosis weeks ending from 3 January 2021 to 12 September 2021. The chart also highlights the timing of key public health measures such as quarantine and self-isolation advice and restrictions on gatherings and travel."/>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476505" cy="5690628"/>
                    </a:xfrm>
                    <a:prstGeom prst="rect">
                      <a:avLst/>
                    </a:prstGeom>
                  </pic:spPr>
                </pic:pic>
              </a:graphicData>
            </a:graphic>
          </wp:inline>
        </w:drawing>
      </w:r>
    </w:p>
    <w:p w14:paraId="65A4C0A0" w14:textId="77777777" w:rsidR="00D46D62" w:rsidRDefault="00D46D62" w:rsidP="00D46D62">
      <w:pPr>
        <w:pStyle w:val="NormalWeb"/>
        <w:rPr>
          <w:rStyle w:val="Strong"/>
          <w:lang w:val="en-GB"/>
        </w:rPr>
        <w:sectPr w:rsidR="00D46D62" w:rsidSect="00D46D62">
          <w:footnotePr>
            <w:numFmt w:val="lowerRoman"/>
          </w:footnotePr>
          <w:pgSz w:w="16838" w:h="11906" w:orient="landscape"/>
          <w:pgMar w:top="720" w:right="720" w:bottom="720" w:left="1134" w:header="709" w:footer="284" w:gutter="0"/>
          <w:cols w:space="708"/>
          <w:titlePg/>
          <w:docGrid w:linePitch="360"/>
        </w:sectPr>
      </w:pPr>
    </w:p>
    <w:p w14:paraId="3BA95783" w14:textId="7A2907B1" w:rsidR="00612295" w:rsidRPr="003D48C0" w:rsidRDefault="00612295" w:rsidP="003D48C0">
      <w:pPr>
        <w:pStyle w:val="Heading1"/>
      </w:pPr>
      <w:r w:rsidRPr="003D48C0">
        <w:lastRenderedPageBreak/>
        <w:t xml:space="preserve">Countries and territories in Australia’s near region </w:t>
      </w:r>
    </w:p>
    <w:p w14:paraId="6A8F0292" w14:textId="0B77AC87" w:rsidR="00612295" w:rsidRDefault="00612295" w:rsidP="003D48C0">
      <w:r>
        <w:t>According to WHO, countries and territories in the South East Asian and Western Pacific regions reported 4,295,172 newly-confirmed cases and 76,966 deaths in the four-week period to 12 September 2021, bringing the cumulative cases in the two regions to over 49 million, and cumulative deaths in these regions to 762,788.</w:t>
      </w:r>
      <w:r>
        <w:rPr>
          <w:vertAlign w:val="superscript"/>
        </w:rPr>
        <w:t>11</w:t>
      </w:r>
      <w:r>
        <w:t xml:space="preserve"> New case numbers and death incidence have continued to trend downward in </w:t>
      </w:r>
      <w:r w:rsidR="003B6A2A">
        <w:t>the south east Asian region</w:t>
      </w:r>
      <w:r>
        <w:t xml:space="preserve">, driven by decreasing cases in India, Indonesia and Thailand. The Western Pacific region has experienced an exponential increase in cases and deaths for nearly two months. However, the increase in cases and deaths has slowed in recent weeks. The highest numbers of new cases in </w:t>
      </w:r>
      <w:r w:rsidR="003B6A2A">
        <w:t xml:space="preserve">the Western Pacific region </w:t>
      </w:r>
      <w:r>
        <w:t>during the four-week period to 12 September 2021 were in Malaysia, Japan, and the Philippines.</w:t>
      </w:r>
      <w:r>
        <w:rPr>
          <w:vertAlign w:val="superscript"/>
        </w:rPr>
        <w:t>12</w:t>
      </w:r>
      <w:r>
        <w:t xml:space="preserve"> </w:t>
      </w:r>
    </w:p>
    <w:p w14:paraId="0B628DE8" w14:textId="5C26FED0" w:rsidR="00612295" w:rsidRDefault="00612295" w:rsidP="003D48C0">
      <w:r>
        <w:t xml:space="preserve">Table 11 outlines the new cases and deaths in the four-week period to 12 September 2021 and cumulative cases and deaths for the pandemic in selected countries with the highest number of new cases in </w:t>
      </w:r>
      <w:r w:rsidR="00A756A7">
        <w:t xml:space="preserve">the South East Asian region </w:t>
      </w:r>
      <w:r>
        <w:t xml:space="preserve">and </w:t>
      </w:r>
      <w:r w:rsidR="003B6A2A">
        <w:rPr>
          <w:rFonts w:ascii="Segoe UI" w:hAnsi="Segoe UI" w:cs="Segoe UI"/>
          <w:color w:val="000000"/>
          <w:sz w:val="20"/>
          <w:szCs w:val="20"/>
        </w:rPr>
        <w:t>the Western Pacific region</w:t>
      </w:r>
      <w:r>
        <w:t xml:space="preserve">. </w:t>
      </w:r>
    </w:p>
    <w:p w14:paraId="5EEAC237" w14:textId="11D26C9C" w:rsidR="00612295" w:rsidRDefault="00612295" w:rsidP="003D48C0">
      <w:r>
        <w:t>As of 12 September 2021, over 224 million COVID-19 cases and 4.6 million deaths have been reported globally, with a global CFR of 2%. The two regions reporting the largest burden of disease over the past four weeks were the Region of the Americas (36%) and the European Region (27%).</w:t>
      </w:r>
    </w:p>
    <w:p w14:paraId="3D329DD3" w14:textId="77777777" w:rsidR="00F300C3" w:rsidRPr="0011436F" w:rsidRDefault="00F300C3" w:rsidP="00F300C3">
      <w:pPr>
        <w:pStyle w:val="CDIFigures"/>
      </w:pPr>
      <w:r w:rsidRPr="0011436F">
        <w:rPr>
          <w:rStyle w:val="Strong"/>
          <w:b/>
          <w:bCs w:val="0"/>
        </w:rPr>
        <w:t>Table 11: Cumulative cases and deaths, and new cases and deaths reported in the four-week period to 12</w:t>
      </w:r>
      <w:r>
        <w:rPr>
          <w:rStyle w:val="Strong"/>
          <w:b/>
          <w:bCs w:val="0"/>
        </w:rPr>
        <w:t> </w:t>
      </w:r>
      <w:r w:rsidRPr="0011436F">
        <w:rPr>
          <w:rStyle w:val="Strong"/>
          <w:b/>
          <w:bCs w:val="0"/>
        </w:rPr>
        <w:t xml:space="preserve">September 2021 for selected countries in Australia’s near region according to </w:t>
      </w:r>
      <w:proofErr w:type="spellStart"/>
      <w:r w:rsidRPr="0011436F">
        <w:rPr>
          <w:rStyle w:val="Strong"/>
          <w:b/>
          <w:bCs w:val="0"/>
        </w:rPr>
        <w:t>WHO</w:t>
      </w:r>
      <w:r w:rsidRPr="0011436F">
        <w:rPr>
          <w:rStyle w:val="Strong"/>
          <w:b/>
          <w:bCs w:val="0"/>
          <w:vertAlign w:val="superscript"/>
        </w:rPr>
        <w:t>a</w:t>
      </w:r>
      <w:proofErr w:type="spellEnd"/>
    </w:p>
    <w:tbl>
      <w:tblPr>
        <w:tblStyle w:val="CDI-StandardTable"/>
        <w:tblW w:w="0" w:type="auto"/>
        <w:tblLook w:val="04A0" w:firstRow="1" w:lastRow="0" w:firstColumn="1" w:lastColumn="0" w:noHBand="0" w:noVBand="1"/>
        <w:tblDescription w:val="A table summarising cumulative and new COVID-19 cases and deaths reported in the four-week period to 12 September 2021, in several countries in the South East Asian and Western Pacific Regions."/>
      </w:tblPr>
      <w:tblGrid>
        <w:gridCol w:w="1141"/>
        <w:gridCol w:w="1396"/>
        <w:gridCol w:w="1648"/>
        <w:gridCol w:w="1575"/>
        <w:gridCol w:w="1426"/>
        <w:gridCol w:w="1677"/>
        <w:gridCol w:w="1603"/>
      </w:tblGrid>
      <w:tr w:rsidR="00F300C3" w:rsidRPr="0011436F" w14:paraId="41F72133" w14:textId="77777777" w:rsidTr="0099623F">
        <w:trPr>
          <w:cnfStyle w:val="100000000000" w:firstRow="1" w:lastRow="0" w:firstColumn="0" w:lastColumn="0" w:oddVBand="0" w:evenVBand="0" w:oddHBand="0" w:evenHBand="0" w:firstRowFirstColumn="0" w:firstRowLastColumn="0" w:lastRowFirstColumn="0" w:lastRowLastColumn="0"/>
          <w:tblHeader/>
        </w:trPr>
        <w:tc>
          <w:tcPr>
            <w:tcW w:w="0" w:type="auto"/>
            <w:tcBorders>
              <w:right w:val="single" w:sz="2" w:space="0" w:color="FFFFFF" w:themeColor="background1"/>
            </w:tcBorders>
            <w:hideMark/>
          </w:tcPr>
          <w:p w14:paraId="59DD7175" w14:textId="77777777" w:rsidR="00F300C3" w:rsidRPr="0011436F" w:rsidRDefault="00F300C3" w:rsidP="0099623F">
            <w:pPr>
              <w:pStyle w:val="NormalWeb"/>
              <w:rPr>
                <w:color w:val="FFFFFF" w:themeColor="background1"/>
              </w:rPr>
            </w:pPr>
            <w:r w:rsidRPr="0011436F">
              <w:rPr>
                <w:color w:val="FFFFFF" w:themeColor="background1"/>
              </w:rPr>
              <w:t>Country</w:t>
            </w:r>
          </w:p>
        </w:tc>
        <w:tc>
          <w:tcPr>
            <w:tcW w:w="0" w:type="auto"/>
            <w:tcBorders>
              <w:left w:val="single" w:sz="2" w:space="0" w:color="FFFFFF" w:themeColor="background1"/>
              <w:right w:val="single" w:sz="2" w:space="0" w:color="FFFFFF" w:themeColor="background1"/>
            </w:tcBorders>
            <w:hideMark/>
          </w:tcPr>
          <w:p w14:paraId="1F566C20" w14:textId="77777777" w:rsidR="00F300C3" w:rsidRPr="0011436F" w:rsidRDefault="00F300C3" w:rsidP="0099623F">
            <w:pPr>
              <w:pStyle w:val="NormalWeb"/>
              <w:jc w:val="center"/>
              <w:rPr>
                <w:color w:val="FFFFFF" w:themeColor="background1"/>
              </w:rPr>
            </w:pPr>
            <w:r w:rsidRPr="0011436F">
              <w:rPr>
                <w:color w:val="FFFFFF" w:themeColor="background1"/>
              </w:rPr>
              <w:t>Cumulative cases</w:t>
            </w:r>
          </w:p>
        </w:tc>
        <w:tc>
          <w:tcPr>
            <w:tcW w:w="0" w:type="auto"/>
            <w:tcBorders>
              <w:left w:val="single" w:sz="2" w:space="0" w:color="FFFFFF" w:themeColor="background1"/>
              <w:right w:val="single" w:sz="2" w:space="0" w:color="FFFFFF" w:themeColor="background1"/>
            </w:tcBorders>
            <w:hideMark/>
          </w:tcPr>
          <w:p w14:paraId="517EBA33" w14:textId="77777777" w:rsidR="00F300C3" w:rsidRPr="0011436F" w:rsidRDefault="00F300C3" w:rsidP="0099623F">
            <w:pPr>
              <w:pStyle w:val="NormalWeb"/>
              <w:jc w:val="center"/>
              <w:rPr>
                <w:color w:val="FFFFFF" w:themeColor="background1"/>
              </w:rPr>
            </w:pPr>
            <w:r w:rsidRPr="0011436F">
              <w:rPr>
                <w:color w:val="FFFFFF" w:themeColor="background1"/>
              </w:rPr>
              <w:t>New cases reported in the last 4 weeks</w:t>
            </w:r>
          </w:p>
        </w:tc>
        <w:tc>
          <w:tcPr>
            <w:tcW w:w="0" w:type="auto"/>
            <w:tcBorders>
              <w:left w:val="single" w:sz="2" w:space="0" w:color="FFFFFF" w:themeColor="background1"/>
              <w:right w:val="single" w:sz="2" w:space="0" w:color="FFFFFF" w:themeColor="background1"/>
            </w:tcBorders>
            <w:hideMark/>
          </w:tcPr>
          <w:p w14:paraId="05BA27AC" w14:textId="77777777" w:rsidR="00F300C3" w:rsidRPr="0011436F" w:rsidRDefault="00F300C3" w:rsidP="0099623F">
            <w:pPr>
              <w:pStyle w:val="NormalWeb"/>
              <w:jc w:val="center"/>
              <w:rPr>
                <w:color w:val="FFFFFF" w:themeColor="background1"/>
              </w:rPr>
            </w:pPr>
            <w:r w:rsidRPr="0011436F">
              <w:rPr>
                <w:color w:val="FFFFFF" w:themeColor="background1"/>
              </w:rPr>
              <w:t xml:space="preserve">Change in new cases in the last 4 </w:t>
            </w:r>
            <w:proofErr w:type="spellStart"/>
            <w:r w:rsidRPr="0011436F">
              <w:rPr>
                <w:color w:val="FFFFFF" w:themeColor="background1"/>
              </w:rPr>
              <w:t>weeks</w:t>
            </w:r>
            <w:r w:rsidRPr="0011436F">
              <w:rPr>
                <w:color w:val="FFFFFF" w:themeColor="background1"/>
                <w:vertAlign w:val="superscript"/>
              </w:rPr>
              <w:t>b</w:t>
            </w:r>
            <w:proofErr w:type="spellEnd"/>
          </w:p>
        </w:tc>
        <w:tc>
          <w:tcPr>
            <w:tcW w:w="0" w:type="auto"/>
            <w:tcBorders>
              <w:left w:val="single" w:sz="2" w:space="0" w:color="FFFFFF" w:themeColor="background1"/>
              <w:right w:val="single" w:sz="2" w:space="0" w:color="FFFFFF" w:themeColor="background1"/>
            </w:tcBorders>
            <w:hideMark/>
          </w:tcPr>
          <w:p w14:paraId="5190AF99" w14:textId="77777777" w:rsidR="00F300C3" w:rsidRPr="0011436F" w:rsidRDefault="00F300C3" w:rsidP="0099623F">
            <w:pPr>
              <w:pStyle w:val="NormalWeb"/>
              <w:jc w:val="center"/>
              <w:rPr>
                <w:color w:val="FFFFFF" w:themeColor="background1"/>
              </w:rPr>
            </w:pPr>
            <w:r w:rsidRPr="0011436F">
              <w:rPr>
                <w:color w:val="FFFFFF" w:themeColor="background1"/>
              </w:rPr>
              <w:t>Cumulative deaths</w:t>
            </w:r>
          </w:p>
        </w:tc>
        <w:tc>
          <w:tcPr>
            <w:tcW w:w="0" w:type="auto"/>
            <w:tcBorders>
              <w:left w:val="single" w:sz="2" w:space="0" w:color="FFFFFF" w:themeColor="background1"/>
              <w:right w:val="single" w:sz="2" w:space="0" w:color="FFFFFF" w:themeColor="background1"/>
            </w:tcBorders>
            <w:hideMark/>
          </w:tcPr>
          <w:p w14:paraId="36AD70AD" w14:textId="77777777" w:rsidR="00F300C3" w:rsidRPr="0011436F" w:rsidRDefault="00F300C3" w:rsidP="0099623F">
            <w:pPr>
              <w:pStyle w:val="NormalWeb"/>
              <w:jc w:val="center"/>
              <w:rPr>
                <w:color w:val="FFFFFF" w:themeColor="background1"/>
              </w:rPr>
            </w:pPr>
            <w:r w:rsidRPr="0011436F">
              <w:rPr>
                <w:color w:val="FFFFFF" w:themeColor="background1"/>
              </w:rPr>
              <w:t>New deaths reported in the last 4 weeks</w:t>
            </w:r>
          </w:p>
        </w:tc>
        <w:tc>
          <w:tcPr>
            <w:tcW w:w="0" w:type="auto"/>
            <w:tcBorders>
              <w:left w:val="single" w:sz="2" w:space="0" w:color="FFFFFF" w:themeColor="background1"/>
            </w:tcBorders>
            <w:hideMark/>
          </w:tcPr>
          <w:p w14:paraId="36C86C7F" w14:textId="77777777" w:rsidR="00F300C3" w:rsidRPr="0011436F" w:rsidRDefault="00F300C3" w:rsidP="0099623F">
            <w:pPr>
              <w:pStyle w:val="NormalWeb"/>
              <w:jc w:val="center"/>
              <w:rPr>
                <w:color w:val="FFFFFF" w:themeColor="background1"/>
              </w:rPr>
            </w:pPr>
            <w:r w:rsidRPr="0011436F">
              <w:rPr>
                <w:color w:val="FFFFFF" w:themeColor="background1"/>
              </w:rPr>
              <w:t xml:space="preserve">Change in new deaths in the last 4 </w:t>
            </w:r>
            <w:proofErr w:type="spellStart"/>
            <w:r w:rsidRPr="0011436F">
              <w:rPr>
                <w:color w:val="FFFFFF" w:themeColor="background1"/>
              </w:rPr>
              <w:t>weeks</w:t>
            </w:r>
            <w:r w:rsidRPr="0011436F">
              <w:rPr>
                <w:color w:val="FFFFFF" w:themeColor="background1"/>
                <w:vertAlign w:val="superscript"/>
              </w:rPr>
              <w:t>b</w:t>
            </w:r>
            <w:proofErr w:type="spellEnd"/>
          </w:p>
        </w:tc>
      </w:tr>
      <w:tr w:rsidR="00F300C3" w:rsidRPr="0011436F" w14:paraId="57567176" w14:textId="77777777" w:rsidTr="00A040EF">
        <w:tblPrEx>
          <w:tblCellMar>
            <w:top w:w="57" w:type="dxa"/>
            <w:left w:w="57" w:type="dxa"/>
            <w:bottom w:w="57" w:type="dxa"/>
            <w:right w:w="57" w:type="dxa"/>
          </w:tblCellMar>
        </w:tblPrEx>
        <w:tc>
          <w:tcPr>
            <w:tcW w:w="0" w:type="auto"/>
            <w:gridSpan w:val="7"/>
            <w:shd w:val="clear" w:color="auto" w:fill="595959" w:themeFill="text1" w:themeFillTint="A6"/>
            <w:hideMark/>
          </w:tcPr>
          <w:p w14:paraId="40C16BEE" w14:textId="77777777" w:rsidR="00F300C3" w:rsidRPr="0011436F" w:rsidRDefault="00F300C3" w:rsidP="0099623F">
            <w:pPr>
              <w:pStyle w:val="NormalWeb"/>
              <w:jc w:val="center"/>
              <w:rPr>
                <w:b/>
                <w:bCs/>
                <w:color w:val="FFFFFF" w:themeColor="background1"/>
              </w:rPr>
            </w:pPr>
            <w:r w:rsidRPr="0011436F">
              <w:rPr>
                <w:b/>
                <w:bCs/>
                <w:color w:val="FFFFFF" w:themeColor="background1"/>
              </w:rPr>
              <w:t>South East Asian region</w:t>
            </w:r>
          </w:p>
        </w:tc>
      </w:tr>
      <w:tr w:rsidR="00F300C3" w14:paraId="1482D7A5"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A4B9A34" w14:textId="77777777" w:rsidR="00F300C3" w:rsidRDefault="00F300C3" w:rsidP="0099623F">
            <w:pPr>
              <w:pStyle w:val="NormalWeb"/>
            </w:pPr>
            <w:r>
              <w:t>India</w:t>
            </w:r>
          </w:p>
        </w:tc>
        <w:tc>
          <w:tcPr>
            <w:tcW w:w="0" w:type="auto"/>
            <w:hideMark/>
          </w:tcPr>
          <w:p w14:paraId="31678AAB" w14:textId="77777777" w:rsidR="00F300C3" w:rsidRDefault="00F300C3" w:rsidP="0099623F">
            <w:pPr>
              <w:pStyle w:val="NormalWeb"/>
              <w:jc w:val="center"/>
            </w:pPr>
            <w:r>
              <w:t>33,236,921</w:t>
            </w:r>
          </w:p>
        </w:tc>
        <w:tc>
          <w:tcPr>
            <w:tcW w:w="0" w:type="auto"/>
            <w:hideMark/>
          </w:tcPr>
          <w:p w14:paraId="6C3F8A6D" w14:textId="77777777" w:rsidR="00F300C3" w:rsidRDefault="00F300C3" w:rsidP="0099623F">
            <w:pPr>
              <w:pStyle w:val="NormalWeb"/>
              <w:jc w:val="center"/>
            </w:pPr>
            <w:r>
              <w:t>1,044,345</w:t>
            </w:r>
          </w:p>
        </w:tc>
        <w:tc>
          <w:tcPr>
            <w:tcW w:w="0" w:type="auto"/>
            <w:hideMark/>
          </w:tcPr>
          <w:p w14:paraId="5CAE5C4D" w14:textId="77777777" w:rsidR="00F300C3" w:rsidRDefault="00F300C3" w:rsidP="0099623F">
            <w:pPr>
              <w:pStyle w:val="NormalWeb"/>
              <w:jc w:val="center"/>
            </w:pPr>
            <w:r>
              <w:t>-4%</w:t>
            </w:r>
          </w:p>
        </w:tc>
        <w:tc>
          <w:tcPr>
            <w:tcW w:w="0" w:type="auto"/>
            <w:hideMark/>
          </w:tcPr>
          <w:p w14:paraId="2817D49C" w14:textId="77777777" w:rsidR="00F300C3" w:rsidRDefault="00F300C3" w:rsidP="0099623F">
            <w:pPr>
              <w:pStyle w:val="NormalWeb"/>
              <w:jc w:val="center"/>
            </w:pPr>
            <w:r>
              <w:t>442,655</w:t>
            </w:r>
          </w:p>
        </w:tc>
        <w:tc>
          <w:tcPr>
            <w:tcW w:w="0" w:type="auto"/>
            <w:hideMark/>
          </w:tcPr>
          <w:p w14:paraId="354427F5" w14:textId="77777777" w:rsidR="00F300C3" w:rsidRDefault="00F300C3" w:rsidP="0099623F">
            <w:pPr>
              <w:pStyle w:val="NormalWeb"/>
              <w:jc w:val="center"/>
            </w:pPr>
            <w:r>
              <w:t>11,430</w:t>
            </w:r>
          </w:p>
        </w:tc>
        <w:tc>
          <w:tcPr>
            <w:tcW w:w="0" w:type="auto"/>
            <w:hideMark/>
          </w:tcPr>
          <w:p w14:paraId="12BDC031" w14:textId="77777777" w:rsidR="00F300C3" w:rsidRDefault="00F300C3" w:rsidP="0099623F">
            <w:pPr>
              <w:pStyle w:val="NormalWeb"/>
              <w:jc w:val="center"/>
            </w:pPr>
            <w:r>
              <w:t>-35%</w:t>
            </w:r>
          </w:p>
        </w:tc>
      </w:tr>
      <w:tr w:rsidR="00F300C3" w14:paraId="2E0B30FB" w14:textId="77777777" w:rsidTr="0099623F">
        <w:tblPrEx>
          <w:tblCellMar>
            <w:top w:w="57" w:type="dxa"/>
            <w:left w:w="57" w:type="dxa"/>
            <w:bottom w:w="57" w:type="dxa"/>
            <w:right w:w="57" w:type="dxa"/>
          </w:tblCellMar>
        </w:tblPrEx>
        <w:tc>
          <w:tcPr>
            <w:tcW w:w="0" w:type="auto"/>
            <w:hideMark/>
          </w:tcPr>
          <w:p w14:paraId="7A977F1F" w14:textId="77777777" w:rsidR="00F300C3" w:rsidRDefault="00F300C3" w:rsidP="0099623F">
            <w:pPr>
              <w:pStyle w:val="NormalWeb"/>
            </w:pPr>
            <w:r>
              <w:t>Thailand</w:t>
            </w:r>
          </w:p>
        </w:tc>
        <w:tc>
          <w:tcPr>
            <w:tcW w:w="0" w:type="auto"/>
            <w:hideMark/>
          </w:tcPr>
          <w:p w14:paraId="20F4D295" w14:textId="77777777" w:rsidR="00F300C3" w:rsidRDefault="00F300C3" w:rsidP="0099623F">
            <w:pPr>
              <w:pStyle w:val="NormalWeb"/>
              <w:jc w:val="center"/>
            </w:pPr>
            <w:r>
              <w:t>1,382,173</w:t>
            </w:r>
          </w:p>
        </w:tc>
        <w:tc>
          <w:tcPr>
            <w:tcW w:w="0" w:type="auto"/>
            <w:hideMark/>
          </w:tcPr>
          <w:p w14:paraId="6B3F5D97" w14:textId="77777777" w:rsidR="00F300C3" w:rsidRDefault="00F300C3" w:rsidP="0099623F">
            <w:pPr>
              <w:pStyle w:val="NormalWeb"/>
              <w:jc w:val="center"/>
            </w:pPr>
            <w:r>
              <w:t>475,016</w:t>
            </w:r>
          </w:p>
        </w:tc>
        <w:tc>
          <w:tcPr>
            <w:tcW w:w="0" w:type="auto"/>
            <w:hideMark/>
          </w:tcPr>
          <w:p w14:paraId="78F66449" w14:textId="77777777" w:rsidR="00F300C3" w:rsidRDefault="00F300C3" w:rsidP="0099623F">
            <w:pPr>
              <w:pStyle w:val="NormalWeb"/>
              <w:jc w:val="center"/>
            </w:pPr>
            <w:r>
              <w:t>-6%</w:t>
            </w:r>
          </w:p>
        </w:tc>
        <w:tc>
          <w:tcPr>
            <w:tcW w:w="0" w:type="auto"/>
            <w:hideMark/>
          </w:tcPr>
          <w:p w14:paraId="1F723D3B" w14:textId="77777777" w:rsidR="00F300C3" w:rsidRDefault="00F300C3" w:rsidP="0099623F">
            <w:pPr>
              <w:pStyle w:val="NormalWeb"/>
              <w:jc w:val="center"/>
            </w:pPr>
            <w:r>
              <w:t>14,353</w:t>
            </w:r>
          </w:p>
        </w:tc>
        <w:tc>
          <w:tcPr>
            <w:tcW w:w="0" w:type="auto"/>
            <w:hideMark/>
          </w:tcPr>
          <w:p w14:paraId="7CA3CBE2" w14:textId="77777777" w:rsidR="00F300C3" w:rsidRDefault="00F300C3" w:rsidP="0099623F">
            <w:pPr>
              <w:pStyle w:val="NormalWeb"/>
              <w:jc w:val="center"/>
            </w:pPr>
            <w:r>
              <w:t>6,801</w:t>
            </w:r>
          </w:p>
        </w:tc>
        <w:tc>
          <w:tcPr>
            <w:tcW w:w="0" w:type="auto"/>
            <w:hideMark/>
          </w:tcPr>
          <w:p w14:paraId="32D199EF" w14:textId="77777777" w:rsidR="00F300C3" w:rsidRDefault="00F300C3" w:rsidP="0099623F">
            <w:pPr>
              <w:pStyle w:val="NormalWeb"/>
              <w:jc w:val="center"/>
            </w:pPr>
            <w:r>
              <w:t>+62%</w:t>
            </w:r>
          </w:p>
        </w:tc>
      </w:tr>
      <w:tr w:rsidR="00F300C3" w14:paraId="3A3590DF"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7E62C7C6" w14:textId="77777777" w:rsidR="00F300C3" w:rsidRDefault="00F300C3" w:rsidP="0099623F">
            <w:pPr>
              <w:pStyle w:val="NormalWeb"/>
            </w:pPr>
            <w:r>
              <w:t>Indonesia</w:t>
            </w:r>
          </w:p>
        </w:tc>
        <w:tc>
          <w:tcPr>
            <w:tcW w:w="0" w:type="auto"/>
            <w:hideMark/>
          </w:tcPr>
          <w:p w14:paraId="2E96F8C8" w14:textId="77777777" w:rsidR="00F300C3" w:rsidRDefault="00F300C3" w:rsidP="0099623F">
            <w:pPr>
              <w:pStyle w:val="NormalWeb"/>
              <w:jc w:val="center"/>
            </w:pPr>
            <w:r>
              <w:t>4,167,511</w:t>
            </w:r>
          </w:p>
        </w:tc>
        <w:tc>
          <w:tcPr>
            <w:tcW w:w="0" w:type="auto"/>
            <w:hideMark/>
          </w:tcPr>
          <w:p w14:paraId="70D2E240" w14:textId="77777777" w:rsidR="00F300C3" w:rsidRDefault="00F300C3" w:rsidP="0099623F">
            <w:pPr>
              <w:pStyle w:val="NormalWeb"/>
              <w:jc w:val="center"/>
            </w:pPr>
            <w:r>
              <w:t>313,157</w:t>
            </w:r>
          </w:p>
        </w:tc>
        <w:tc>
          <w:tcPr>
            <w:tcW w:w="0" w:type="auto"/>
            <w:hideMark/>
          </w:tcPr>
          <w:p w14:paraId="653EAA08" w14:textId="77777777" w:rsidR="00F300C3" w:rsidRDefault="00F300C3" w:rsidP="0099623F">
            <w:pPr>
              <w:pStyle w:val="NormalWeb"/>
              <w:jc w:val="center"/>
            </w:pPr>
            <w:r>
              <w:t>-68%</w:t>
            </w:r>
          </w:p>
        </w:tc>
        <w:tc>
          <w:tcPr>
            <w:tcW w:w="0" w:type="auto"/>
            <w:hideMark/>
          </w:tcPr>
          <w:p w14:paraId="300DED9E" w14:textId="77777777" w:rsidR="00F300C3" w:rsidRDefault="00F300C3" w:rsidP="0099623F">
            <w:pPr>
              <w:pStyle w:val="NormalWeb"/>
              <w:jc w:val="center"/>
            </w:pPr>
            <w:r>
              <w:t>138,889</w:t>
            </w:r>
          </w:p>
        </w:tc>
        <w:tc>
          <w:tcPr>
            <w:tcW w:w="0" w:type="auto"/>
            <w:hideMark/>
          </w:tcPr>
          <w:p w14:paraId="216191C7" w14:textId="77777777" w:rsidR="00F300C3" w:rsidRDefault="00F300C3" w:rsidP="0099623F">
            <w:pPr>
              <w:pStyle w:val="NormalWeb"/>
              <w:jc w:val="center"/>
            </w:pPr>
            <w:r>
              <w:t>21,301</w:t>
            </w:r>
          </w:p>
        </w:tc>
        <w:tc>
          <w:tcPr>
            <w:tcW w:w="0" w:type="auto"/>
            <w:hideMark/>
          </w:tcPr>
          <w:p w14:paraId="37224ECB" w14:textId="77777777" w:rsidR="00F300C3" w:rsidRDefault="00F300C3" w:rsidP="0099623F">
            <w:pPr>
              <w:pStyle w:val="NormalWeb"/>
              <w:jc w:val="center"/>
            </w:pPr>
            <w:r>
              <w:t>-52%</w:t>
            </w:r>
          </w:p>
        </w:tc>
      </w:tr>
      <w:tr w:rsidR="00F300C3" w14:paraId="6A49D0AB" w14:textId="77777777" w:rsidTr="0099623F">
        <w:tblPrEx>
          <w:tblCellMar>
            <w:top w:w="57" w:type="dxa"/>
            <w:left w:w="57" w:type="dxa"/>
            <w:bottom w:w="57" w:type="dxa"/>
            <w:right w:w="57" w:type="dxa"/>
          </w:tblCellMar>
        </w:tblPrEx>
        <w:tc>
          <w:tcPr>
            <w:tcW w:w="0" w:type="auto"/>
            <w:hideMark/>
          </w:tcPr>
          <w:p w14:paraId="34038DA9" w14:textId="77777777" w:rsidR="00F300C3" w:rsidRDefault="00F300C3" w:rsidP="0099623F">
            <w:pPr>
              <w:pStyle w:val="NormalWeb"/>
            </w:pPr>
            <w:r>
              <w:t>Sri Lanka</w:t>
            </w:r>
          </w:p>
        </w:tc>
        <w:tc>
          <w:tcPr>
            <w:tcW w:w="0" w:type="auto"/>
            <w:hideMark/>
          </w:tcPr>
          <w:p w14:paraId="075E4D49" w14:textId="77777777" w:rsidR="00F300C3" w:rsidRDefault="00F300C3" w:rsidP="0099623F">
            <w:pPr>
              <w:pStyle w:val="NormalWeb"/>
              <w:jc w:val="center"/>
            </w:pPr>
            <w:r>
              <w:t>485,922</w:t>
            </w:r>
          </w:p>
        </w:tc>
        <w:tc>
          <w:tcPr>
            <w:tcW w:w="0" w:type="auto"/>
            <w:hideMark/>
          </w:tcPr>
          <w:p w14:paraId="47C7A889" w14:textId="77777777" w:rsidR="00F300C3" w:rsidRDefault="00F300C3" w:rsidP="0099623F">
            <w:pPr>
              <w:pStyle w:val="NormalWeb"/>
              <w:jc w:val="center"/>
            </w:pPr>
            <w:r>
              <w:t>130,954</w:t>
            </w:r>
          </w:p>
        </w:tc>
        <w:tc>
          <w:tcPr>
            <w:tcW w:w="0" w:type="auto"/>
            <w:hideMark/>
          </w:tcPr>
          <w:p w14:paraId="51996064" w14:textId="77777777" w:rsidR="00F300C3" w:rsidRDefault="00F300C3" w:rsidP="0099623F">
            <w:pPr>
              <w:pStyle w:val="NormalWeb"/>
              <w:jc w:val="center"/>
            </w:pPr>
            <w:r>
              <w:t>+87%</w:t>
            </w:r>
          </w:p>
        </w:tc>
        <w:tc>
          <w:tcPr>
            <w:tcW w:w="0" w:type="auto"/>
            <w:hideMark/>
          </w:tcPr>
          <w:p w14:paraId="0413C741" w14:textId="77777777" w:rsidR="00F300C3" w:rsidRDefault="00F300C3" w:rsidP="0099623F">
            <w:pPr>
              <w:pStyle w:val="NormalWeb"/>
              <w:jc w:val="center"/>
            </w:pPr>
            <w:r>
              <w:t>11,296</w:t>
            </w:r>
          </w:p>
        </w:tc>
        <w:tc>
          <w:tcPr>
            <w:tcW w:w="0" w:type="auto"/>
            <w:hideMark/>
          </w:tcPr>
          <w:p w14:paraId="05CFC3CF" w14:textId="77777777" w:rsidR="00F300C3" w:rsidRDefault="00F300C3" w:rsidP="0099623F">
            <w:pPr>
              <w:pStyle w:val="NormalWeb"/>
              <w:jc w:val="center"/>
            </w:pPr>
            <w:r>
              <w:t>5,257</w:t>
            </w:r>
          </w:p>
        </w:tc>
        <w:tc>
          <w:tcPr>
            <w:tcW w:w="0" w:type="auto"/>
            <w:hideMark/>
          </w:tcPr>
          <w:p w14:paraId="0E97A2B6" w14:textId="77777777" w:rsidR="00F300C3" w:rsidRDefault="00F300C3" w:rsidP="0099623F">
            <w:pPr>
              <w:pStyle w:val="NormalWeb"/>
              <w:jc w:val="center"/>
            </w:pPr>
            <w:r>
              <w:t>+127%</w:t>
            </w:r>
          </w:p>
        </w:tc>
      </w:tr>
      <w:tr w:rsidR="00F300C3" w14:paraId="52B214E7"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CD724F0" w14:textId="77777777" w:rsidR="00F300C3" w:rsidRDefault="00F300C3" w:rsidP="0099623F">
            <w:pPr>
              <w:pStyle w:val="NormalWeb"/>
            </w:pPr>
            <w:r>
              <w:t>Bangladesh</w:t>
            </w:r>
          </w:p>
        </w:tc>
        <w:tc>
          <w:tcPr>
            <w:tcW w:w="0" w:type="auto"/>
            <w:hideMark/>
          </w:tcPr>
          <w:p w14:paraId="54B0C57B" w14:textId="77777777" w:rsidR="00F300C3" w:rsidRDefault="00F300C3" w:rsidP="0099623F">
            <w:pPr>
              <w:pStyle w:val="NormalWeb"/>
              <w:jc w:val="center"/>
            </w:pPr>
            <w:r>
              <w:t>1,530,413</w:t>
            </w:r>
          </w:p>
        </w:tc>
        <w:tc>
          <w:tcPr>
            <w:tcW w:w="0" w:type="auto"/>
            <w:hideMark/>
          </w:tcPr>
          <w:p w14:paraId="1C94E5AA" w14:textId="77777777" w:rsidR="00F300C3" w:rsidRDefault="00F300C3" w:rsidP="0099623F">
            <w:pPr>
              <w:pStyle w:val="NormalWeb"/>
              <w:jc w:val="center"/>
            </w:pPr>
            <w:r>
              <w:t>111,511</w:t>
            </w:r>
          </w:p>
        </w:tc>
        <w:tc>
          <w:tcPr>
            <w:tcW w:w="0" w:type="auto"/>
            <w:hideMark/>
          </w:tcPr>
          <w:p w14:paraId="173B6667" w14:textId="77777777" w:rsidR="00F300C3" w:rsidRDefault="00F300C3" w:rsidP="0099623F">
            <w:pPr>
              <w:pStyle w:val="NormalWeb"/>
              <w:jc w:val="center"/>
            </w:pPr>
            <w:r>
              <w:t>-65%</w:t>
            </w:r>
          </w:p>
        </w:tc>
        <w:tc>
          <w:tcPr>
            <w:tcW w:w="0" w:type="auto"/>
            <w:hideMark/>
          </w:tcPr>
          <w:p w14:paraId="5CD4475F" w14:textId="77777777" w:rsidR="00F300C3" w:rsidRDefault="00F300C3" w:rsidP="0099623F">
            <w:pPr>
              <w:pStyle w:val="NormalWeb"/>
              <w:jc w:val="center"/>
            </w:pPr>
            <w:r>
              <w:t>26,931</w:t>
            </w:r>
          </w:p>
        </w:tc>
        <w:tc>
          <w:tcPr>
            <w:tcW w:w="0" w:type="auto"/>
            <w:hideMark/>
          </w:tcPr>
          <w:p w14:paraId="56C2EC10" w14:textId="77777777" w:rsidR="00F300C3" w:rsidRDefault="00F300C3" w:rsidP="0099623F">
            <w:pPr>
              <w:pStyle w:val="NormalWeb"/>
              <w:jc w:val="center"/>
            </w:pPr>
            <w:r>
              <w:t>2,756</w:t>
            </w:r>
          </w:p>
        </w:tc>
        <w:tc>
          <w:tcPr>
            <w:tcW w:w="0" w:type="auto"/>
            <w:hideMark/>
          </w:tcPr>
          <w:p w14:paraId="0EE718E0" w14:textId="77777777" w:rsidR="00F300C3" w:rsidRDefault="00F300C3" w:rsidP="0099623F">
            <w:pPr>
              <w:pStyle w:val="NormalWeb"/>
              <w:jc w:val="center"/>
            </w:pPr>
            <w:r>
              <w:t>-56%</w:t>
            </w:r>
          </w:p>
        </w:tc>
      </w:tr>
      <w:tr w:rsidR="00F300C3" w:rsidRPr="0011436F" w14:paraId="5A31CCF1" w14:textId="77777777" w:rsidTr="00A040EF">
        <w:tblPrEx>
          <w:tblCellMar>
            <w:top w:w="57" w:type="dxa"/>
            <w:left w:w="57" w:type="dxa"/>
            <w:bottom w:w="57" w:type="dxa"/>
            <w:right w:w="57" w:type="dxa"/>
          </w:tblCellMar>
        </w:tblPrEx>
        <w:tc>
          <w:tcPr>
            <w:tcW w:w="0" w:type="auto"/>
            <w:gridSpan w:val="7"/>
            <w:shd w:val="clear" w:color="auto" w:fill="595959" w:themeFill="text1" w:themeFillTint="A6"/>
            <w:hideMark/>
          </w:tcPr>
          <w:p w14:paraId="14D8BF5B" w14:textId="77777777" w:rsidR="00F300C3" w:rsidRPr="0011436F" w:rsidRDefault="00F300C3" w:rsidP="0099623F">
            <w:pPr>
              <w:pStyle w:val="NormalWeb"/>
              <w:jc w:val="center"/>
              <w:rPr>
                <w:b/>
                <w:bCs/>
                <w:color w:val="FFFFFF" w:themeColor="background1"/>
              </w:rPr>
            </w:pPr>
            <w:r w:rsidRPr="0011436F">
              <w:rPr>
                <w:b/>
                <w:bCs/>
                <w:color w:val="FFFFFF" w:themeColor="background1"/>
              </w:rPr>
              <w:t>Western Pacific region</w:t>
            </w:r>
          </w:p>
        </w:tc>
      </w:tr>
      <w:tr w:rsidR="00F300C3" w14:paraId="5979894C"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3900CF2" w14:textId="77777777" w:rsidR="00F300C3" w:rsidRDefault="00F300C3" w:rsidP="0099623F">
            <w:pPr>
              <w:pStyle w:val="NormalWeb"/>
            </w:pPr>
            <w:r>
              <w:t>Malaysia</w:t>
            </w:r>
          </w:p>
        </w:tc>
        <w:tc>
          <w:tcPr>
            <w:tcW w:w="0" w:type="auto"/>
            <w:hideMark/>
          </w:tcPr>
          <w:p w14:paraId="084D8020" w14:textId="77777777" w:rsidR="00F300C3" w:rsidRDefault="00F300C3" w:rsidP="0099623F">
            <w:pPr>
              <w:pStyle w:val="NormalWeb"/>
              <w:jc w:val="center"/>
            </w:pPr>
            <w:r>
              <w:t>1,960,500</w:t>
            </w:r>
          </w:p>
        </w:tc>
        <w:tc>
          <w:tcPr>
            <w:tcW w:w="0" w:type="auto"/>
            <w:hideMark/>
          </w:tcPr>
          <w:p w14:paraId="203907CB" w14:textId="77777777" w:rsidR="00F300C3" w:rsidRDefault="00F300C3" w:rsidP="0099623F">
            <w:pPr>
              <w:pStyle w:val="NormalWeb"/>
              <w:jc w:val="center"/>
            </w:pPr>
            <w:r>
              <w:t>576,147</w:t>
            </w:r>
          </w:p>
        </w:tc>
        <w:tc>
          <w:tcPr>
            <w:tcW w:w="0" w:type="auto"/>
            <w:hideMark/>
          </w:tcPr>
          <w:p w14:paraId="46ECCB1E" w14:textId="77777777" w:rsidR="00F300C3" w:rsidRDefault="00F300C3" w:rsidP="0099623F">
            <w:pPr>
              <w:pStyle w:val="NormalWeb"/>
              <w:jc w:val="center"/>
            </w:pPr>
            <w:r>
              <w:t>+20%</w:t>
            </w:r>
          </w:p>
        </w:tc>
        <w:tc>
          <w:tcPr>
            <w:tcW w:w="0" w:type="auto"/>
            <w:hideMark/>
          </w:tcPr>
          <w:p w14:paraId="0539059C" w14:textId="77777777" w:rsidR="00F300C3" w:rsidRDefault="00F300C3" w:rsidP="0099623F">
            <w:pPr>
              <w:pStyle w:val="NormalWeb"/>
              <w:jc w:val="center"/>
            </w:pPr>
            <w:r>
              <w:t>20,419</w:t>
            </w:r>
          </w:p>
        </w:tc>
        <w:tc>
          <w:tcPr>
            <w:tcW w:w="0" w:type="auto"/>
            <w:hideMark/>
          </w:tcPr>
          <w:p w14:paraId="7798DEA0" w14:textId="77777777" w:rsidR="00F300C3" w:rsidRDefault="00F300C3" w:rsidP="0099623F">
            <w:pPr>
              <w:pStyle w:val="NormalWeb"/>
              <w:jc w:val="center"/>
            </w:pPr>
            <w:r>
              <w:t>8,191</w:t>
            </w:r>
          </w:p>
        </w:tc>
        <w:tc>
          <w:tcPr>
            <w:tcW w:w="0" w:type="auto"/>
            <w:hideMark/>
          </w:tcPr>
          <w:p w14:paraId="3EA19FBA" w14:textId="77777777" w:rsidR="00F300C3" w:rsidRDefault="00F300C3" w:rsidP="0099623F">
            <w:pPr>
              <w:pStyle w:val="NormalWeb"/>
              <w:jc w:val="center"/>
            </w:pPr>
            <w:r>
              <w:t>+53%</w:t>
            </w:r>
          </w:p>
        </w:tc>
      </w:tr>
      <w:tr w:rsidR="00F300C3" w14:paraId="0A55FFB1" w14:textId="77777777" w:rsidTr="0099623F">
        <w:tblPrEx>
          <w:tblCellMar>
            <w:top w:w="57" w:type="dxa"/>
            <w:left w:w="57" w:type="dxa"/>
            <w:bottom w:w="57" w:type="dxa"/>
            <w:right w:w="57" w:type="dxa"/>
          </w:tblCellMar>
        </w:tblPrEx>
        <w:tc>
          <w:tcPr>
            <w:tcW w:w="0" w:type="auto"/>
            <w:hideMark/>
          </w:tcPr>
          <w:p w14:paraId="26950393" w14:textId="77777777" w:rsidR="00F300C3" w:rsidRDefault="00F300C3" w:rsidP="0099623F">
            <w:pPr>
              <w:pStyle w:val="NormalWeb"/>
            </w:pPr>
            <w:r>
              <w:t>Japan</w:t>
            </w:r>
          </w:p>
        </w:tc>
        <w:tc>
          <w:tcPr>
            <w:tcW w:w="0" w:type="auto"/>
            <w:hideMark/>
          </w:tcPr>
          <w:p w14:paraId="3DB6E582" w14:textId="77777777" w:rsidR="00F300C3" w:rsidRDefault="00F300C3" w:rsidP="0099623F">
            <w:pPr>
              <w:pStyle w:val="NormalWeb"/>
              <w:jc w:val="center"/>
            </w:pPr>
            <w:r>
              <w:t>1,623,091</w:t>
            </w:r>
          </w:p>
        </w:tc>
        <w:tc>
          <w:tcPr>
            <w:tcW w:w="0" w:type="auto"/>
            <w:hideMark/>
          </w:tcPr>
          <w:p w14:paraId="2C8F9487" w14:textId="77777777" w:rsidR="00F300C3" w:rsidRDefault="00F300C3" w:rsidP="0099623F">
            <w:pPr>
              <w:pStyle w:val="NormalWeb"/>
              <w:jc w:val="center"/>
            </w:pPr>
            <w:r>
              <w:t>494,709</w:t>
            </w:r>
          </w:p>
        </w:tc>
        <w:tc>
          <w:tcPr>
            <w:tcW w:w="0" w:type="auto"/>
            <w:hideMark/>
          </w:tcPr>
          <w:p w14:paraId="1B41D2E4" w14:textId="77777777" w:rsidR="00F300C3" w:rsidRDefault="00F300C3" w:rsidP="0099623F">
            <w:pPr>
              <w:pStyle w:val="NormalWeb"/>
              <w:jc w:val="center"/>
            </w:pPr>
            <w:r>
              <w:t>+71%</w:t>
            </w:r>
          </w:p>
        </w:tc>
        <w:tc>
          <w:tcPr>
            <w:tcW w:w="0" w:type="auto"/>
            <w:hideMark/>
          </w:tcPr>
          <w:p w14:paraId="4744321F" w14:textId="77777777" w:rsidR="00F300C3" w:rsidRDefault="00F300C3" w:rsidP="0099623F">
            <w:pPr>
              <w:pStyle w:val="NormalWeb"/>
              <w:jc w:val="center"/>
            </w:pPr>
            <w:r>
              <w:t>16,742</w:t>
            </w:r>
          </w:p>
        </w:tc>
        <w:tc>
          <w:tcPr>
            <w:tcW w:w="0" w:type="auto"/>
            <w:hideMark/>
          </w:tcPr>
          <w:p w14:paraId="1E439912" w14:textId="77777777" w:rsidR="00F300C3" w:rsidRDefault="00F300C3" w:rsidP="0099623F">
            <w:pPr>
              <w:pStyle w:val="NormalWeb"/>
              <w:jc w:val="center"/>
            </w:pPr>
            <w:r>
              <w:t>1,342</w:t>
            </w:r>
          </w:p>
        </w:tc>
        <w:tc>
          <w:tcPr>
            <w:tcW w:w="0" w:type="auto"/>
            <w:hideMark/>
          </w:tcPr>
          <w:p w14:paraId="2253F7CC" w14:textId="77777777" w:rsidR="00F300C3" w:rsidRDefault="00F300C3" w:rsidP="0099623F">
            <w:pPr>
              <w:pStyle w:val="NormalWeb"/>
              <w:jc w:val="center"/>
            </w:pPr>
            <w:r>
              <w:t>+273%</w:t>
            </w:r>
          </w:p>
        </w:tc>
      </w:tr>
      <w:tr w:rsidR="00F300C3" w14:paraId="386AED30"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203ECDB8" w14:textId="77777777" w:rsidR="00F300C3" w:rsidRDefault="00F300C3" w:rsidP="0099623F">
            <w:pPr>
              <w:pStyle w:val="NormalWeb"/>
            </w:pPr>
            <w:r>
              <w:t>Philippines</w:t>
            </w:r>
          </w:p>
        </w:tc>
        <w:tc>
          <w:tcPr>
            <w:tcW w:w="0" w:type="auto"/>
            <w:hideMark/>
          </w:tcPr>
          <w:p w14:paraId="2466C9F6" w14:textId="77777777" w:rsidR="00F300C3" w:rsidRDefault="00F300C3" w:rsidP="0099623F">
            <w:pPr>
              <w:pStyle w:val="NormalWeb"/>
              <w:jc w:val="center"/>
            </w:pPr>
            <w:r>
              <w:t>2,205,956</w:t>
            </w:r>
          </w:p>
        </w:tc>
        <w:tc>
          <w:tcPr>
            <w:tcW w:w="0" w:type="auto"/>
            <w:hideMark/>
          </w:tcPr>
          <w:p w14:paraId="165EAC19" w14:textId="77777777" w:rsidR="00F300C3" w:rsidRDefault="00F300C3" w:rsidP="0099623F">
            <w:pPr>
              <w:pStyle w:val="NormalWeb"/>
              <w:jc w:val="center"/>
            </w:pPr>
            <w:r>
              <w:t>479,089</w:t>
            </w:r>
          </w:p>
        </w:tc>
        <w:tc>
          <w:tcPr>
            <w:tcW w:w="0" w:type="auto"/>
            <w:hideMark/>
          </w:tcPr>
          <w:p w14:paraId="48FD0ABB" w14:textId="77777777" w:rsidR="00F300C3" w:rsidRDefault="00F300C3" w:rsidP="0099623F">
            <w:pPr>
              <w:pStyle w:val="NormalWeb"/>
              <w:jc w:val="center"/>
            </w:pPr>
            <w:r>
              <w:t>+113%</w:t>
            </w:r>
          </w:p>
        </w:tc>
        <w:tc>
          <w:tcPr>
            <w:tcW w:w="0" w:type="auto"/>
            <w:hideMark/>
          </w:tcPr>
          <w:p w14:paraId="2E9184FF" w14:textId="77777777" w:rsidR="00F300C3" w:rsidRDefault="00F300C3" w:rsidP="0099623F">
            <w:pPr>
              <w:pStyle w:val="NormalWeb"/>
              <w:jc w:val="center"/>
            </w:pPr>
            <w:r>
              <w:t>34,978</w:t>
            </w:r>
          </w:p>
        </w:tc>
        <w:tc>
          <w:tcPr>
            <w:tcW w:w="0" w:type="auto"/>
            <w:hideMark/>
          </w:tcPr>
          <w:p w14:paraId="1FA7F50B" w14:textId="77777777" w:rsidR="00F300C3" w:rsidRDefault="00F300C3" w:rsidP="0099623F">
            <w:pPr>
              <w:pStyle w:val="NormalWeb"/>
              <w:jc w:val="center"/>
            </w:pPr>
            <w:r>
              <w:t>4,908</w:t>
            </w:r>
          </w:p>
        </w:tc>
        <w:tc>
          <w:tcPr>
            <w:tcW w:w="0" w:type="auto"/>
            <w:hideMark/>
          </w:tcPr>
          <w:p w14:paraId="097068A3" w14:textId="77777777" w:rsidR="00F300C3" w:rsidRDefault="00F300C3" w:rsidP="0099623F">
            <w:pPr>
              <w:pStyle w:val="NormalWeb"/>
              <w:jc w:val="center"/>
            </w:pPr>
            <w:r>
              <w:t>+41%</w:t>
            </w:r>
          </w:p>
        </w:tc>
      </w:tr>
      <w:tr w:rsidR="00F300C3" w14:paraId="76F269E2" w14:textId="77777777" w:rsidTr="0099623F">
        <w:tblPrEx>
          <w:tblCellMar>
            <w:top w:w="57" w:type="dxa"/>
            <w:left w:w="57" w:type="dxa"/>
            <w:bottom w:w="57" w:type="dxa"/>
            <w:right w:w="57" w:type="dxa"/>
          </w:tblCellMar>
        </w:tblPrEx>
        <w:tc>
          <w:tcPr>
            <w:tcW w:w="0" w:type="auto"/>
            <w:hideMark/>
          </w:tcPr>
          <w:p w14:paraId="791A1836" w14:textId="77777777" w:rsidR="00F300C3" w:rsidRDefault="00F300C3" w:rsidP="0099623F">
            <w:pPr>
              <w:pStyle w:val="NormalWeb"/>
            </w:pPr>
            <w:r>
              <w:t>Viet Nam</w:t>
            </w:r>
          </w:p>
        </w:tc>
        <w:tc>
          <w:tcPr>
            <w:tcW w:w="0" w:type="auto"/>
            <w:hideMark/>
          </w:tcPr>
          <w:p w14:paraId="791FBE48" w14:textId="77777777" w:rsidR="00F300C3" w:rsidRDefault="00F300C3" w:rsidP="0099623F">
            <w:pPr>
              <w:pStyle w:val="NormalWeb"/>
              <w:jc w:val="center"/>
            </w:pPr>
            <w:r>
              <w:t>601,349</w:t>
            </w:r>
          </w:p>
        </w:tc>
        <w:tc>
          <w:tcPr>
            <w:tcW w:w="0" w:type="auto"/>
            <w:hideMark/>
          </w:tcPr>
          <w:p w14:paraId="51D3DB4C" w14:textId="77777777" w:rsidR="00F300C3" w:rsidRDefault="00F300C3" w:rsidP="0099623F">
            <w:pPr>
              <w:pStyle w:val="NormalWeb"/>
              <w:jc w:val="center"/>
            </w:pPr>
            <w:r>
              <w:t>335,885</w:t>
            </w:r>
          </w:p>
        </w:tc>
        <w:tc>
          <w:tcPr>
            <w:tcW w:w="0" w:type="auto"/>
            <w:hideMark/>
          </w:tcPr>
          <w:p w14:paraId="4790D849" w14:textId="77777777" w:rsidR="00F300C3" w:rsidRDefault="00F300C3" w:rsidP="0099623F">
            <w:pPr>
              <w:pStyle w:val="NormalWeb"/>
              <w:jc w:val="center"/>
            </w:pPr>
            <w:r>
              <w:t>+57%</w:t>
            </w:r>
          </w:p>
        </w:tc>
        <w:tc>
          <w:tcPr>
            <w:tcW w:w="0" w:type="auto"/>
            <w:hideMark/>
          </w:tcPr>
          <w:p w14:paraId="1AC65505" w14:textId="77777777" w:rsidR="00F300C3" w:rsidRDefault="00F300C3" w:rsidP="0099623F">
            <w:pPr>
              <w:pStyle w:val="NormalWeb"/>
              <w:jc w:val="center"/>
            </w:pPr>
            <w:r>
              <w:t>15,018</w:t>
            </w:r>
          </w:p>
        </w:tc>
        <w:tc>
          <w:tcPr>
            <w:tcW w:w="0" w:type="auto"/>
            <w:hideMark/>
          </w:tcPr>
          <w:p w14:paraId="45B854E4" w14:textId="77777777" w:rsidR="00F300C3" w:rsidRDefault="00F300C3" w:rsidP="0099623F">
            <w:pPr>
              <w:pStyle w:val="NormalWeb"/>
              <w:jc w:val="center"/>
            </w:pPr>
            <w:r>
              <w:t>9,581</w:t>
            </w:r>
          </w:p>
        </w:tc>
        <w:tc>
          <w:tcPr>
            <w:tcW w:w="0" w:type="auto"/>
            <w:hideMark/>
          </w:tcPr>
          <w:p w14:paraId="4B9D91E2" w14:textId="77777777" w:rsidR="00F300C3" w:rsidRDefault="00F300C3" w:rsidP="0099623F">
            <w:pPr>
              <w:pStyle w:val="NormalWeb"/>
              <w:jc w:val="center"/>
            </w:pPr>
            <w:r>
              <w:t>+84%</w:t>
            </w:r>
          </w:p>
        </w:tc>
      </w:tr>
      <w:tr w:rsidR="00F300C3" w14:paraId="5066B698" w14:textId="77777777" w:rsidTr="0099623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0" w:type="auto"/>
            <w:hideMark/>
          </w:tcPr>
          <w:p w14:paraId="4CD4FAB0" w14:textId="77777777" w:rsidR="00F300C3" w:rsidRDefault="00F300C3" w:rsidP="0099623F">
            <w:pPr>
              <w:pStyle w:val="NormalWeb"/>
            </w:pPr>
            <w:r>
              <w:t>Mongolia</w:t>
            </w:r>
          </w:p>
        </w:tc>
        <w:tc>
          <w:tcPr>
            <w:tcW w:w="0" w:type="auto"/>
            <w:hideMark/>
          </w:tcPr>
          <w:p w14:paraId="21A207E2" w14:textId="77777777" w:rsidR="00F300C3" w:rsidRDefault="00F300C3" w:rsidP="0099623F">
            <w:pPr>
              <w:pStyle w:val="NormalWeb"/>
              <w:jc w:val="center"/>
            </w:pPr>
            <w:r>
              <w:t>240,938</w:t>
            </w:r>
          </w:p>
        </w:tc>
        <w:tc>
          <w:tcPr>
            <w:tcW w:w="0" w:type="auto"/>
            <w:hideMark/>
          </w:tcPr>
          <w:p w14:paraId="601529B0" w14:textId="77777777" w:rsidR="00F300C3" w:rsidRDefault="00F300C3" w:rsidP="0099623F">
            <w:pPr>
              <w:pStyle w:val="NormalWeb"/>
              <w:jc w:val="center"/>
            </w:pPr>
            <w:r>
              <w:t>59,647</w:t>
            </w:r>
          </w:p>
        </w:tc>
        <w:tc>
          <w:tcPr>
            <w:tcW w:w="0" w:type="auto"/>
            <w:hideMark/>
          </w:tcPr>
          <w:p w14:paraId="26ED34CF" w14:textId="77777777" w:rsidR="00F300C3" w:rsidRDefault="00F300C3" w:rsidP="0099623F">
            <w:pPr>
              <w:pStyle w:val="NormalWeb"/>
              <w:jc w:val="center"/>
            </w:pPr>
            <w:r>
              <w:t>+68%</w:t>
            </w:r>
          </w:p>
        </w:tc>
        <w:tc>
          <w:tcPr>
            <w:tcW w:w="0" w:type="auto"/>
            <w:hideMark/>
          </w:tcPr>
          <w:p w14:paraId="750FA3F1" w14:textId="77777777" w:rsidR="00F300C3" w:rsidRDefault="00F300C3" w:rsidP="0099623F">
            <w:pPr>
              <w:pStyle w:val="NormalWeb"/>
              <w:jc w:val="center"/>
            </w:pPr>
            <w:r>
              <w:t>976</w:t>
            </w:r>
          </w:p>
        </w:tc>
        <w:tc>
          <w:tcPr>
            <w:tcW w:w="0" w:type="auto"/>
            <w:hideMark/>
          </w:tcPr>
          <w:p w14:paraId="74113DF9" w14:textId="77777777" w:rsidR="00F300C3" w:rsidRDefault="00F300C3" w:rsidP="0099623F">
            <w:pPr>
              <w:pStyle w:val="NormalWeb"/>
              <w:jc w:val="center"/>
            </w:pPr>
            <w:r>
              <w:t>104</w:t>
            </w:r>
          </w:p>
        </w:tc>
        <w:tc>
          <w:tcPr>
            <w:tcW w:w="0" w:type="auto"/>
            <w:hideMark/>
          </w:tcPr>
          <w:p w14:paraId="5483692D" w14:textId="77777777" w:rsidR="00F300C3" w:rsidRDefault="00F300C3" w:rsidP="0099623F">
            <w:pPr>
              <w:pStyle w:val="NormalWeb"/>
              <w:jc w:val="center"/>
            </w:pPr>
            <w:r>
              <w:t>-29%</w:t>
            </w:r>
          </w:p>
        </w:tc>
      </w:tr>
    </w:tbl>
    <w:p w14:paraId="0F77B77E" w14:textId="77777777" w:rsidR="00F300C3" w:rsidRDefault="00F300C3" w:rsidP="00F300C3">
      <w:pPr>
        <w:pStyle w:val="CDIfootnotes"/>
        <w:rPr>
          <w:lang w:val="en-GB"/>
        </w:rPr>
      </w:pPr>
      <w:r>
        <w:rPr>
          <w:lang w:val="en-GB"/>
        </w:rPr>
        <w:t>a</w:t>
      </w:r>
      <w:r>
        <w:rPr>
          <w:lang w:val="en-GB"/>
        </w:rPr>
        <w:tab/>
        <w:t>Source: World Health Organization Coronavirus (COVID-19) Dashboard,</w:t>
      </w:r>
      <w:r>
        <w:rPr>
          <w:lang w:val="en-US"/>
        </w:rPr>
        <w:t>11</w:t>
      </w:r>
      <w:r>
        <w:rPr>
          <w:lang w:val="en-GB"/>
        </w:rPr>
        <w:t xml:space="preserve"> accessed 14 September 2021.</w:t>
      </w:r>
    </w:p>
    <w:p w14:paraId="509D4A27" w14:textId="305DE4ED" w:rsidR="00F300C3" w:rsidRPr="001957FA" w:rsidRDefault="00F300C3" w:rsidP="001957FA">
      <w:pPr>
        <w:pStyle w:val="CDIfootnotes"/>
        <w:rPr>
          <w:lang w:val="en-GB"/>
        </w:rPr>
      </w:pPr>
      <w:r>
        <w:rPr>
          <w:lang w:val="en-GB"/>
        </w:rPr>
        <w:t>b</w:t>
      </w:r>
      <w:r>
        <w:rPr>
          <w:lang w:val="en-GB"/>
        </w:rPr>
        <w:tab/>
        <w:t>Percent change in the number of newly confirmed cases/deaths in the past 4 weeks compared to the 4 weeks prior.</w:t>
      </w:r>
    </w:p>
    <w:p w14:paraId="2A5FF00E" w14:textId="77777777" w:rsidR="00A756A7" w:rsidRDefault="00A756A7">
      <w:pPr>
        <w:rPr>
          <w:rFonts w:asciiTheme="majorHAnsi" w:eastAsiaTheme="majorEastAsia" w:hAnsiTheme="majorHAnsi" w:cstheme="majorBidi"/>
          <w:b/>
          <w:bCs/>
          <w:sz w:val="32"/>
          <w:szCs w:val="28"/>
        </w:rPr>
      </w:pPr>
      <w:r>
        <w:br w:type="page"/>
      </w:r>
    </w:p>
    <w:p w14:paraId="6F299603" w14:textId="5F0A54B1" w:rsidR="00612295" w:rsidRPr="003D48C0" w:rsidRDefault="00612295" w:rsidP="003D48C0">
      <w:pPr>
        <w:pStyle w:val="Heading1"/>
      </w:pPr>
      <w:r w:rsidRPr="003D48C0">
        <w:t xml:space="preserve">Acknowledgements </w:t>
      </w:r>
    </w:p>
    <w:p w14:paraId="296CEFB8" w14:textId="77777777" w:rsidR="00612295" w:rsidRDefault="00612295" w:rsidP="003D48C0">
      <w:r>
        <w:t xml:space="preserve">We thank public health staff from incident emergency operations centres and public health units in state and territory health departments, and the Australian Government Department of Health, along with state and territory </w:t>
      </w:r>
      <w:r>
        <w:lastRenderedPageBreak/>
        <w:t xml:space="preserve">public health laboratories. We thank those who have provided data from surveillance systems, such as Commonwealth respiratory clinics, ASPREN, </w:t>
      </w:r>
      <w:proofErr w:type="spellStart"/>
      <w:r>
        <w:t>FluTracking</w:t>
      </w:r>
      <w:proofErr w:type="spellEnd"/>
      <w:r>
        <w:t xml:space="preserve">, </w:t>
      </w:r>
      <w:proofErr w:type="spellStart"/>
      <w:r>
        <w:t>FluCAN</w:t>
      </w:r>
      <w:proofErr w:type="spellEnd"/>
      <w:r>
        <w:t xml:space="preserve">, SPRINT-SARI, Communicable Disease Genomics Network, </w:t>
      </w:r>
      <w:proofErr w:type="spellStart"/>
      <w:r>
        <w:t>AusTrakka</w:t>
      </w:r>
      <w:proofErr w:type="spellEnd"/>
      <w:r>
        <w:t xml:space="preserve"> and jurisdictional sequencing laboratories. </w:t>
      </w:r>
    </w:p>
    <w:p w14:paraId="53353EC8" w14:textId="77777777" w:rsidR="00612295" w:rsidRPr="003D48C0" w:rsidRDefault="00612295" w:rsidP="003D48C0">
      <w:pPr>
        <w:pStyle w:val="Heading1"/>
      </w:pPr>
      <w:r w:rsidRPr="003D48C0">
        <w:t xml:space="preserve">Author details </w:t>
      </w:r>
    </w:p>
    <w:p w14:paraId="3CB66FCC" w14:textId="77777777" w:rsidR="00612295" w:rsidRPr="003D48C0" w:rsidRDefault="00612295" w:rsidP="003D48C0">
      <w:pPr>
        <w:pStyle w:val="Heading2"/>
      </w:pPr>
      <w:r w:rsidRPr="003D48C0">
        <w:t xml:space="preserve">Corresponding author </w:t>
      </w:r>
    </w:p>
    <w:p w14:paraId="3DEBC997" w14:textId="77777777" w:rsidR="00612295" w:rsidRDefault="00612295" w:rsidP="003D48C0">
      <w:r>
        <w:t xml:space="preserve">COVID-19 National Incident Room Surveillance Team </w:t>
      </w:r>
    </w:p>
    <w:p w14:paraId="19A16F96" w14:textId="77777777" w:rsidR="00612295" w:rsidRDefault="00612295" w:rsidP="003D48C0">
      <w:r>
        <w:t>Australian Government Department of Health, GPO Box 9484, MDP 14, Canberra, ACT 2601. Email: epi.coronavirus@health.gov.au</w:t>
      </w:r>
    </w:p>
    <w:p w14:paraId="61429D24" w14:textId="77777777" w:rsidR="00612295" w:rsidRPr="003D48C0" w:rsidRDefault="00612295" w:rsidP="003D48C0">
      <w:pPr>
        <w:pStyle w:val="Heading1"/>
      </w:pPr>
      <w:r w:rsidRPr="003D48C0">
        <w:t xml:space="preserve">References </w:t>
      </w:r>
    </w:p>
    <w:p w14:paraId="53934B23"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COVID-19 National Incident Room Surveillance Team. COVID-19 Australia: Epidemiology Report 49: Reporting period ending 29 August 2021. </w:t>
      </w:r>
      <w:proofErr w:type="spellStart"/>
      <w:r w:rsidRPr="003D48C0">
        <w:rPr>
          <w:rStyle w:val="Emphasis"/>
          <w:rFonts w:eastAsia="Times New Roman"/>
          <w:b w:val="0"/>
          <w:bCs w:val="0"/>
        </w:rPr>
        <w:t>Commun</w:t>
      </w:r>
      <w:proofErr w:type="spellEnd"/>
      <w:r w:rsidRPr="003D48C0">
        <w:rPr>
          <w:rStyle w:val="Emphasis"/>
          <w:rFonts w:eastAsia="Times New Roman"/>
          <w:b w:val="0"/>
          <w:bCs w:val="0"/>
        </w:rPr>
        <w:t xml:space="preserve"> Dis </w:t>
      </w:r>
      <w:proofErr w:type="spellStart"/>
      <w:r w:rsidRPr="003D48C0">
        <w:rPr>
          <w:rStyle w:val="Emphasis"/>
          <w:rFonts w:eastAsia="Times New Roman"/>
          <w:b w:val="0"/>
          <w:bCs w:val="0"/>
        </w:rPr>
        <w:t>Intell</w:t>
      </w:r>
      <w:proofErr w:type="spellEnd"/>
      <w:r w:rsidRPr="003D48C0">
        <w:rPr>
          <w:rStyle w:val="Emphasis"/>
          <w:rFonts w:eastAsia="Times New Roman"/>
          <w:b w:val="0"/>
          <w:bCs w:val="0"/>
        </w:rPr>
        <w:t xml:space="preserve"> (2018)</w:t>
      </w:r>
      <w:r w:rsidRPr="003D48C0">
        <w:rPr>
          <w:rFonts w:eastAsia="Times New Roman"/>
        </w:rPr>
        <w:t xml:space="preserve">. 2021;45. </w:t>
      </w:r>
      <w:proofErr w:type="spellStart"/>
      <w:r w:rsidRPr="003D48C0">
        <w:rPr>
          <w:rFonts w:eastAsia="Times New Roman"/>
        </w:rPr>
        <w:t>doi</w:t>
      </w:r>
      <w:proofErr w:type="spellEnd"/>
      <w:r w:rsidRPr="003D48C0">
        <w:rPr>
          <w:rFonts w:eastAsia="Times New Roman"/>
        </w:rPr>
        <w:t xml:space="preserve">: https://doi.org/10.33321/cdi.2021.45.49. </w:t>
      </w:r>
    </w:p>
    <w:p w14:paraId="54B66E7B"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COVID-19 National Incident Room Surveillance Team. COVID-19 Australia: Epidemiology Report 48: Reporting period ending 15 August 2021. </w:t>
      </w:r>
      <w:proofErr w:type="spellStart"/>
      <w:r w:rsidRPr="003D48C0">
        <w:rPr>
          <w:rStyle w:val="Emphasis"/>
          <w:rFonts w:eastAsia="Times New Roman"/>
          <w:b w:val="0"/>
          <w:bCs w:val="0"/>
        </w:rPr>
        <w:t>Commun</w:t>
      </w:r>
      <w:proofErr w:type="spellEnd"/>
      <w:r w:rsidRPr="003D48C0">
        <w:rPr>
          <w:rStyle w:val="Emphasis"/>
          <w:rFonts w:eastAsia="Times New Roman"/>
          <w:b w:val="0"/>
          <w:bCs w:val="0"/>
        </w:rPr>
        <w:t xml:space="preserve"> Dis </w:t>
      </w:r>
      <w:proofErr w:type="spellStart"/>
      <w:r w:rsidRPr="003D48C0">
        <w:rPr>
          <w:rStyle w:val="Emphasis"/>
          <w:rFonts w:eastAsia="Times New Roman"/>
          <w:b w:val="0"/>
          <w:bCs w:val="0"/>
        </w:rPr>
        <w:t>Intell</w:t>
      </w:r>
      <w:proofErr w:type="spellEnd"/>
      <w:r w:rsidRPr="003D48C0">
        <w:rPr>
          <w:rStyle w:val="Emphasis"/>
          <w:rFonts w:eastAsia="Times New Roman"/>
          <w:b w:val="0"/>
          <w:bCs w:val="0"/>
        </w:rPr>
        <w:t xml:space="preserve"> (2018)</w:t>
      </w:r>
      <w:r w:rsidRPr="003D48C0">
        <w:rPr>
          <w:rFonts w:eastAsia="Times New Roman"/>
        </w:rPr>
        <w:t xml:space="preserve">. 2021;45. </w:t>
      </w:r>
      <w:proofErr w:type="spellStart"/>
      <w:r w:rsidRPr="003D48C0">
        <w:rPr>
          <w:rFonts w:eastAsia="Times New Roman"/>
        </w:rPr>
        <w:t>doi</w:t>
      </w:r>
      <w:proofErr w:type="spellEnd"/>
      <w:r w:rsidRPr="003D48C0">
        <w:rPr>
          <w:rFonts w:eastAsia="Times New Roman"/>
        </w:rPr>
        <w:t xml:space="preserve">: https://doi.org/10.33321/cdi.2021.45.48. </w:t>
      </w:r>
    </w:p>
    <w:p w14:paraId="75B94CAE"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COVID-19 National Incident Room Surveillance Team. Technical supplement. COVID-19 Australia: Epidemiology reporting. </w:t>
      </w:r>
      <w:proofErr w:type="spellStart"/>
      <w:r w:rsidRPr="003D48C0">
        <w:rPr>
          <w:rStyle w:val="Emphasis"/>
          <w:rFonts w:eastAsia="Times New Roman"/>
          <w:b w:val="0"/>
          <w:bCs w:val="0"/>
        </w:rPr>
        <w:t>Commun</w:t>
      </w:r>
      <w:proofErr w:type="spellEnd"/>
      <w:r w:rsidRPr="003D48C0">
        <w:rPr>
          <w:rStyle w:val="Emphasis"/>
          <w:rFonts w:eastAsia="Times New Roman"/>
          <w:b w:val="0"/>
          <w:bCs w:val="0"/>
        </w:rPr>
        <w:t xml:space="preserve"> Dis </w:t>
      </w:r>
      <w:proofErr w:type="spellStart"/>
      <w:r w:rsidRPr="003D48C0">
        <w:rPr>
          <w:rStyle w:val="Emphasis"/>
          <w:rFonts w:eastAsia="Times New Roman"/>
          <w:b w:val="0"/>
          <w:bCs w:val="0"/>
        </w:rPr>
        <w:t>Intell</w:t>
      </w:r>
      <w:proofErr w:type="spellEnd"/>
      <w:r w:rsidRPr="003D48C0">
        <w:rPr>
          <w:rStyle w:val="Emphasis"/>
          <w:rFonts w:eastAsia="Times New Roman"/>
          <w:b w:val="0"/>
          <w:bCs w:val="0"/>
        </w:rPr>
        <w:t xml:space="preserve"> (2018)</w:t>
      </w:r>
      <w:r w:rsidRPr="003D48C0">
        <w:rPr>
          <w:rFonts w:eastAsia="Times New Roman"/>
        </w:rPr>
        <w:t xml:space="preserve">. 2021;45. </w:t>
      </w:r>
      <w:proofErr w:type="spellStart"/>
      <w:r w:rsidRPr="003D48C0">
        <w:rPr>
          <w:rFonts w:eastAsia="Times New Roman"/>
        </w:rPr>
        <w:t>doi</w:t>
      </w:r>
      <w:proofErr w:type="spellEnd"/>
      <w:r w:rsidRPr="003D48C0">
        <w:rPr>
          <w:rFonts w:eastAsia="Times New Roman"/>
        </w:rPr>
        <w:t xml:space="preserve">: https://doi.org/10.33321/cdi.2021.45.2. </w:t>
      </w:r>
    </w:p>
    <w:p w14:paraId="60BFB3E8"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Government Department of Health. Getting vaccinated for COVID-19: Australia’s vaccine rollout. [Internet.] Canberra: Australian Government Department of Health; 2021. [Accessed on 13 September 2021.] Available from: https://www.health.gov.au/initiatives-and-programs/covid-19-vaccines/getting-vaccinated-for-covid-19#australias-vaccine-rollout. </w:t>
      </w:r>
    </w:p>
    <w:p w14:paraId="3565BF7F"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and New Zealand Intensive Care Research Centre (ANZIC-RC). SPRINT-SARI: Short period incidence study of severe acute respiratory infection. [Internet.] Melbourne: Monash University, ANZIC-RC; 2020. Available from: https://www.monash.edu/medicine/sphpm/anzicrc/research/sprint-sari. </w:t>
      </w:r>
    </w:p>
    <w:p w14:paraId="1B703A6A"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Communicable Diseases Genomics Network (CDGN). </w:t>
      </w:r>
      <w:proofErr w:type="spellStart"/>
      <w:r w:rsidRPr="003D48C0">
        <w:rPr>
          <w:rFonts w:eastAsia="Times New Roman"/>
        </w:rPr>
        <w:t>AusTrakka</w:t>
      </w:r>
      <w:proofErr w:type="spellEnd"/>
      <w:r w:rsidRPr="003D48C0">
        <w:rPr>
          <w:rFonts w:eastAsia="Times New Roman"/>
        </w:rPr>
        <w:t xml:space="preserve">. [Website.] Melbourne: CDGN; 2020. Available from: https://www.cdgn.org.au/austrakka. </w:t>
      </w:r>
    </w:p>
    <w:p w14:paraId="3B7DAEBA"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World Health Organization (WHO). Coronavirus disease (COVID-19) Weekly Epidemiological Update and Weekly Operational Update. [Internet.] Geneva: WHO; June 2021. [Accessed on 25 June 2021.] Available from: https://www.who.int/emergencies/diseases/novel-coronavirus-2019/situation-reports/. </w:t>
      </w:r>
    </w:p>
    <w:p w14:paraId="5FA4F494" w14:textId="77777777" w:rsidR="00612295" w:rsidRPr="003D48C0" w:rsidRDefault="00612295" w:rsidP="003D48C0">
      <w:pPr>
        <w:pStyle w:val="ListParagraph"/>
        <w:numPr>
          <w:ilvl w:val="0"/>
          <w:numId w:val="9"/>
        </w:numPr>
        <w:rPr>
          <w:rFonts w:eastAsia="Times New Roman"/>
        </w:rPr>
      </w:pPr>
      <w:proofErr w:type="gramStart"/>
      <w:r w:rsidRPr="003D48C0">
        <w:rPr>
          <w:rFonts w:eastAsia="Times New Roman"/>
        </w:rPr>
        <w:t>WHO.</w:t>
      </w:r>
      <w:proofErr w:type="gramEnd"/>
      <w:r w:rsidRPr="003D48C0">
        <w:rPr>
          <w:rFonts w:eastAsia="Times New Roman"/>
        </w:rPr>
        <w:t xml:space="preserve"> Tracking SARS-CoV-2 variants. [Internet.] Geneva: WHO; 15 June 2021. [Accessed on 25 June 2021.] Available from: https://www.who.int/en/activities/tracking-SARS-CoV-2-variants/. </w:t>
      </w:r>
    </w:p>
    <w:p w14:paraId="5647B7E4"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Dalton C, </w:t>
      </w:r>
      <w:proofErr w:type="spellStart"/>
      <w:r w:rsidRPr="003D48C0">
        <w:rPr>
          <w:rFonts w:eastAsia="Times New Roman"/>
        </w:rPr>
        <w:t>Durrheim</w:t>
      </w:r>
      <w:proofErr w:type="spellEnd"/>
      <w:r w:rsidRPr="003D48C0">
        <w:rPr>
          <w:rFonts w:eastAsia="Times New Roman"/>
        </w:rPr>
        <w:t xml:space="preserve"> D, </w:t>
      </w:r>
      <w:proofErr w:type="spellStart"/>
      <w:r w:rsidRPr="003D48C0">
        <w:rPr>
          <w:rFonts w:eastAsia="Times New Roman"/>
        </w:rPr>
        <w:t>Fejsa</w:t>
      </w:r>
      <w:proofErr w:type="spellEnd"/>
      <w:r w:rsidRPr="003D48C0">
        <w:rPr>
          <w:rFonts w:eastAsia="Times New Roman"/>
        </w:rPr>
        <w:t xml:space="preserve"> J, Francis L, Carlson S, </w:t>
      </w:r>
      <w:proofErr w:type="spellStart"/>
      <w:r w:rsidRPr="003D48C0">
        <w:rPr>
          <w:rFonts w:eastAsia="Times New Roman"/>
        </w:rPr>
        <w:t>d’Espaignet</w:t>
      </w:r>
      <w:proofErr w:type="spellEnd"/>
      <w:r w:rsidRPr="003D48C0">
        <w:rPr>
          <w:rFonts w:eastAsia="Times New Roman"/>
        </w:rPr>
        <w:t xml:space="preserve"> ET </w:t>
      </w:r>
      <w:proofErr w:type="spellStart"/>
      <w:r w:rsidRPr="003D48C0">
        <w:rPr>
          <w:rFonts w:eastAsia="Times New Roman"/>
        </w:rPr>
        <w:t>et</w:t>
      </w:r>
      <w:proofErr w:type="spellEnd"/>
      <w:r w:rsidRPr="003D48C0">
        <w:rPr>
          <w:rFonts w:eastAsia="Times New Roman"/>
        </w:rPr>
        <w:t xml:space="preserve"> al. </w:t>
      </w:r>
      <w:proofErr w:type="spellStart"/>
      <w:r w:rsidRPr="003D48C0">
        <w:rPr>
          <w:rFonts w:eastAsia="Times New Roman"/>
        </w:rPr>
        <w:t>Flutracking</w:t>
      </w:r>
      <w:proofErr w:type="spellEnd"/>
      <w:r w:rsidRPr="003D48C0">
        <w:rPr>
          <w:rFonts w:eastAsia="Times New Roman"/>
        </w:rPr>
        <w:t xml:space="preserve">: a weekly Australian community online survey of influenza-like illness in 2006, 2007 and 2008. </w:t>
      </w:r>
      <w:proofErr w:type="spellStart"/>
      <w:r w:rsidRPr="003D48C0">
        <w:rPr>
          <w:rStyle w:val="Emphasis"/>
          <w:rFonts w:eastAsia="Times New Roman"/>
          <w:b w:val="0"/>
          <w:bCs w:val="0"/>
        </w:rPr>
        <w:t>Commun</w:t>
      </w:r>
      <w:proofErr w:type="spellEnd"/>
      <w:r w:rsidRPr="003D48C0">
        <w:rPr>
          <w:rStyle w:val="Emphasis"/>
          <w:rFonts w:eastAsia="Times New Roman"/>
          <w:b w:val="0"/>
          <w:bCs w:val="0"/>
        </w:rPr>
        <w:t xml:space="preserve"> Dis </w:t>
      </w:r>
      <w:proofErr w:type="spellStart"/>
      <w:r w:rsidRPr="003D48C0">
        <w:rPr>
          <w:rStyle w:val="Emphasis"/>
          <w:rFonts w:eastAsia="Times New Roman"/>
          <w:b w:val="0"/>
          <w:bCs w:val="0"/>
        </w:rPr>
        <w:t>Intell</w:t>
      </w:r>
      <w:proofErr w:type="spellEnd"/>
      <w:r w:rsidRPr="003D48C0">
        <w:rPr>
          <w:rStyle w:val="Emphasis"/>
          <w:rFonts w:eastAsia="Times New Roman"/>
          <w:b w:val="0"/>
          <w:bCs w:val="0"/>
        </w:rPr>
        <w:t xml:space="preserve"> Q Rep</w:t>
      </w:r>
      <w:r w:rsidRPr="003D48C0">
        <w:rPr>
          <w:rFonts w:eastAsia="Times New Roman"/>
        </w:rPr>
        <w:t xml:space="preserve">. 2009;33(3):316–22. </w:t>
      </w:r>
    </w:p>
    <w:p w14:paraId="186695C6"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Government Department of Health. Framework for national reopening – October 2020. [Internet.] Canberra: Australian Government Department of Health; 23 October 2020. [Accessed on 10 November 2020.] Available from: https://www.health.gov.au/resources/publications/framework-for-national-reopening-october-2020. </w:t>
      </w:r>
    </w:p>
    <w:p w14:paraId="328C8EA5" w14:textId="77777777" w:rsidR="00612295" w:rsidRPr="003D48C0" w:rsidRDefault="00612295" w:rsidP="003D48C0">
      <w:pPr>
        <w:pStyle w:val="ListParagraph"/>
        <w:numPr>
          <w:ilvl w:val="0"/>
          <w:numId w:val="9"/>
        </w:numPr>
        <w:rPr>
          <w:rFonts w:eastAsia="Times New Roman"/>
        </w:rPr>
      </w:pPr>
      <w:proofErr w:type="gramStart"/>
      <w:r w:rsidRPr="003D48C0">
        <w:rPr>
          <w:rFonts w:eastAsia="Times New Roman"/>
        </w:rPr>
        <w:t>WHO.</w:t>
      </w:r>
      <w:proofErr w:type="gramEnd"/>
      <w:r w:rsidRPr="003D48C0">
        <w:rPr>
          <w:rFonts w:eastAsia="Times New Roman"/>
        </w:rPr>
        <w:t xml:space="preserve"> WHO Coronavirus Disease (COVID-19) dashboard. [Internet.] Geneva: WHO; 2021. Available from: https://covid19.who.int/. </w:t>
      </w:r>
    </w:p>
    <w:p w14:paraId="55490EE1" w14:textId="77777777" w:rsidR="00612295" w:rsidRPr="003D48C0" w:rsidRDefault="00612295" w:rsidP="003D48C0">
      <w:pPr>
        <w:pStyle w:val="ListParagraph"/>
        <w:numPr>
          <w:ilvl w:val="0"/>
          <w:numId w:val="9"/>
        </w:numPr>
        <w:rPr>
          <w:rFonts w:eastAsia="Times New Roman"/>
        </w:rPr>
      </w:pPr>
      <w:proofErr w:type="gramStart"/>
      <w:r w:rsidRPr="003D48C0">
        <w:rPr>
          <w:rFonts w:eastAsia="Times New Roman"/>
        </w:rPr>
        <w:lastRenderedPageBreak/>
        <w:t>WHO.</w:t>
      </w:r>
      <w:proofErr w:type="gramEnd"/>
      <w:r w:rsidRPr="003D48C0">
        <w:rPr>
          <w:rFonts w:eastAsia="Times New Roman"/>
        </w:rPr>
        <w:t xml:space="preserve"> Weekly epidemiological update on COVID-19 – 14 September 2021. [Internet.] Geneva: WHO; 14 September 2021. [Accessed on 16 September 2021.] Available from: https://www.who.int/publications/m/item/weekly-epidemiological-update-on-covid-19---14-september-2021. </w:t>
      </w:r>
    </w:p>
    <w:p w14:paraId="6ECCBDC1"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COVID-19 Update: Changes to your visit to ACT Health Facilities. [Internet.] Canberra: Australian Capital Territory Government; 12 August 2021. [Accessed on 18 August 2021.] Available from: https://www.health.act.gov.au/news/covid-19-update-changes-your-visit-act-health-facilities. </w:t>
      </w:r>
    </w:p>
    <w:p w14:paraId="3F988428"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ACT COVID-19 Update – 17 August 2021. [Internet.] Canberra: Australian Capital Territory Government; 17 August 2021. [Accessed on 15 September 2021.] Available from: https://www.covid19.act.gov.au/news-articles/act-covid-19-update-17-august-2021. </w:t>
      </w:r>
    </w:p>
    <w:p w14:paraId="5912D3DD"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Non-essential construction works not allowed during lockdown. [Internet.] Canberra: Australian Capital Territory Government; 17 August 2021. [Accessed on 15 September 2021.] Available from: https://www.covid19.act.gov.au/news-articles/non-essential-construction-works-not-allowed-during-lockdown. </w:t>
      </w:r>
    </w:p>
    <w:p w14:paraId="42569D40"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NSW residents with a COVID-19 vaccination booking in the ACT. [Internet.] Canberra: Australian Capital Territory Government; 20 August 2021. [Accessed on 15 September 2021.] Available from: https://www.covid19.act.gov.au/news-articles/nsw-residents-with-a-covid-19-vaccination-booking-in-the-act. </w:t>
      </w:r>
    </w:p>
    <w:p w14:paraId="0FDB8389"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Vaccine registration open for 16 to 29-year-olds. [Internet.] Canberra: Australian Capital Territory Government; 23 August 2021. [Accessed on 15 September 2021.] Available from: https://www.covid19.act.gov.au/news-articles/vaccine-registration-open-for-16-to-29-year-olds. </w:t>
      </w:r>
    </w:p>
    <w:p w14:paraId="7351C5BB"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Student nurses and midwives to join ACT’s COVID-19 response. [Internet.] Canberra: Australian Capital Territory Government; 25 August 2021. [Accessed on 15 September 2021.] Available from: https://www.covid19.act.gov.au/news-articles/student-nurses-and-midwives-to-join-acts-covid-19-response. </w:t>
      </w:r>
    </w:p>
    <w:p w14:paraId="231B8228"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ACT COVID-19 Update – 27 August 2021. [Internet.] Canberra: Australian Capital Territory Government; 27 August 2021. [Accessed on 15 September 2021.] Available from: https://www.covid19.act.gov.au/news-articles/act-covid-19-update-27-august-2021. </w:t>
      </w:r>
    </w:p>
    <w:p w14:paraId="715D0FAC"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ACT COVID-19 Update – 31 August 2021. [Internet.] Canberra: Australian Capital Territory Government; 31 August 2021. [Accessed on 15 September 2021.] Available from: https://www.covid19.act.gov.au/news-articles/act-covid-19-update-31-august-2021. </w:t>
      </w:r>
    </w:p>
    <w:p w14:paraId="1A2F1CD8"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Free public transport to ACT Government COVID-19 vaccination clinics. [Internet.] Canberra: Australian Capital Territory Government; 2 September 2021. [Accessed on 15 September 2021.] Available from: https://www.covid19.act.gov.au/news-articles/free-public-transport-to-act-government-covid-19-vaccination-clinics. </w:t>
      </w:r>
    </w:p>
    <w:p w14:paraId="1C72388D"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Australian Capital Territory Government. AstraZeneca interval reduced to 4 - 8 weeks due to Delta outbreak. [Internet.] Canberra: Australian Capital Territory Government; 6 September 2021. [Accessed on 15 September 2021.] Available from: https://www.covid19.act.gov.au/news-articles/astrazeneca-interval-reduced-to-4-8-weeks-due-to-delta-outbreak. </w:t>
      </w:r>
    </w:p>
    <w:p w14:paraId="64F047E5"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Department of Health (NSW Health). More than 500k Pfizer doses for those aged16-39 in LGAs of concern. [Internet.] Sydney: Government of New South Wales, NSW Health; 18 August 2021. [Accessed on 15 September 2021.] Available from: https://www.health.nsw.gov.au/news/Pages/20210818_00.aspx. </w:t>
      </w:r>
    </w:p>
    <w:p w14:paraId="710311C0" w14:textId="77777777" w:rsidR="00612295" w:rsidRPr="003D48C0" w:rsidRDefault="00612295" w:rsidP="003D48C0">
      <w:pPr>
        <w:pStyle w:val="ListParagraph"/>
        <w:numPr>
          <w:ilvl w:val="0"/>
          <w:numId w:val="9"/>
        </w:numPr>
        <w:rPr>
          <w:rFonts w:eastAsia="Times New Roman"/>
        </w:rPr>
      </w:pPr>
      <w:r w:rsidRPr="003D48C0">
        <w:rPr>
          <w:rFonts w:eastAsia="Times New Roman"/>
        </w:rPr>
        <w:lastRenderedPageBreak/>
        <w:t xml:space="preserve">NSW Health. Private hospital staff join pandemic response. [Internet.] Sydney: Government of New South Wales, NSW Health; 18 August 2021. [Accessed on 15 September 2021.] Available from: https://www.health.nsw.gov.au/news/Pages/20210818_02.aspx. </w:t>
      </w:r>
    </w:p>
    <w:p w14:paraId="1DCCF2BB"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NSW Health. Permits for travel to regional NSW. [Internet.] Sydney: Government of New South Wales, NSW Health; 20 August 2021. [Accessed on 15 September 2021.] Available from: https://www.health.nsw.gov.au/news/Pages/20210820_00.aspx. </w:t>
      </w:r>
    </w:p>
    <w:p w14:paraId="5A88ACB3"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New freedoms for vaccinated first step on state roadmap out of COVID. [Internet.] Sydney: Government of New South Wales; 26 August 2021. [Accessed on 15 September 2021.] Available from: https://www.nsw.gov.au/media-releases/new-freedoms-for-vaccinated-first-step-on-state-roadmap-out-of-covid. </w:t>
      </w:r>
    </w:p>
    <w:p w14:paraId="485634C8"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NSW Health. Vaccination requirements for authorised workers. [Internet.] Sydney: Government of New South Wales, NSW Health; 27 August 2021. [Accessed on 15 September 2021.] Available from: https://www.health.nsw.gov.au/news/Pages/20210827_01.aspx. </w:t>
      </w:r>
    </w:p>
    <w:p w14:paraId="2E33A9C2"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‘Let’s do this’ campaign launched to encourage NSW to get vaccinated. [Internet.] Sydney: Government of New South Wales; 29 August 2021. [Accessed on 15 September 2021.] Available from: https://www.nsw.gov.au/media-releases/lets-do-campaign-launched-to-encourage-nsw-to-get-vaccinated. </w:t>
      </w:r>
    </w:p>
    <w:p w14:paraId="0F044DCC"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Targeted COVID-19 support for Aboriginal communities. [Internet.] Sydney: Government of New South Wales; 30 August 2021. [Accessed on 15 September 2021.] Available from: https://www.nsw.gov.au/media-releases/targeted-covid-19-support-for-aboriginal-communities. </w:t>
      </w:r>
    </w:p>
    <w:p w14:paraId="3329482D"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NSW Health. Vaccination deadline extended for authorised workers from areas of concern. [Internet.] Sydney: Government of New South Wales, NSW Health; 5 September 2021. [Accessed on 15 September 2021.] Available from: https://www.health.nsw.gov.au/news/Pages/20210905_01.aspx. </w:t>
      </w:r>
    </w:p>
    <w:p w14:paraId="51C2C19C"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Roadmap to freedom unveiled for the fully vaccinated. [Internet.] Sydney: Government of New South Wales; 5 September 2021. [Accessed on 15 September 2021.] Available </w:t>
      </w:r>
      <w:proofErr w:type="gramStart"/>
      <w:r w:rsidRPr="003D48C0">
        <w:rPr>
          <w:rFonts w:eastAsia="Times New Roman"/>
        </w:rPr>
        <w:t>from:https://www.nsw.gov.au/media-releases/roadmap-to-freedom-unveiled-for-fully-vaccinated</w:t>
      </w:r>
      <w:proofErr w:type="gramEnd"/>
      <w:r w:rsidRPr="003D48C0">
        <w:rPr>
          <w:rFonts w:eastAsia="Times New Roman"/>
        </w:rPr>
        <w:t xml:space="preserve">. </w:t>
      </w:r>
    </w:p>
    <w:p w14:paraId="378A60A7"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Government of New South Wales. Lockdown lifted in parts of regional NSW. [Internet.] Sydney: Government of New South Wales; 9 September 2021. [Accessed on 15 September 2021.] Available from: https://www.nsw.gov.au/media-releases/lockdown-lifted-parts-of-regional-nsw. </w:t>
      </w:r>
    </w:p>
    <w:p w14:paraId="52AABE7C"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Lockdown restrictions in place. [Internet.] Darwin: Northern Territory Government; 16 August 2021. [Accessed on 15 September 2021.] Available from: https://coronavirus.nt.gov.au/updates/items/2021-08-16-lockdown-restrictions-in-place. </w:t>
      </w:r>
    </w:p>
    <w:p w14:paraId="7B5A7063"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Lockdown, Restrictions &amp; Border Entry Requirements. [Internet.] Darwin: Northern Territory Government; 19 August 2021. [Accessed on 15 September 2021.] Available from: https://coronavirus.nt.gov.au/updates/items/2021-08-19-lockdown,-restrictions-and-border-entry-requirements. </w:t>
      </w:r>
    </w:p>
    <w:p w14:paraId="579681E5"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Lockdown Lifted Katherine. [Internet.] Darwin: Northern Territory Government; 20 August 2021. [Accessed on 15 September 2021.] Available from: https://coronavirus.nt.gov.au/updates/items/2021-08-20-lockdown-lifted-katherine. </w:t>
      </w:r>
    </w:p>
    <w:p w14:paraId="440218D0"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COVID-19 Restrictions Lifted – Greater Darwin &amp; Katherine. [Internet.] Darwin: Northern Territory Government; 26 August 2021. [Accessed on 15 September 2021.] Available from: https://coronavirus.nt.gov.au/updates/items/2021-08-26-covid-19-restrictions-lifted-greater-darwin-and-katherine. </w:t>
      </w:r>
    </w:p>
    <w:p w14:paraId="1F7ECF9D"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Vaccine eligibility extended to all Territorians aged 12 and over. [Internet.] Darwin: Northern Territory Government; 26 August 2021. [Accessed on 15 September 2021.] Available from: </w:t>
      </w:r>
      <w:r w:rsidRPr="003D48C0">
        <w:rPr>
          <w:rFonts w:eastAsia="Times New Roman"/>
        </w:rPr>
        <w:lastRenderedPageBreak/>
        <w:t xml:space="preserve">https://coronavirus.nt.gov.au/updates/items/vaccine-eligibility-extended-to-all-territorians-aged-12-and-over. </w:t>
      </w:r>
    </w:p>
    <w:p w14:paraId="5EEF6AA9"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Northern Territory Government. All Territorians Aged 60+ Now Eligible </w:t>
      </w:r>
      <w:proofErr w:type="gramStart"/>
      <w:r w:rsidRPr="003D48C0">
        <w:rPr>
          <w:rFonts w:eastAsia="Times New Roman"/>
        </w:rPr>
        <w:t>For</w:t>
      </w:r>
      <w:proofErr w:type="gramEnd"/>
      <w:r w:rsidRPr="003D48C0">
        <w:rPr>
          <w:rFonts w:eastAsia="Times New Roman"/>
        </w:rPr>
        <w:t xml:space="preserve"> Pfizer. [Internet.] Darwin: Northern Territory Government; 9 September 2021. [Accessed on 15 September 2021.] Available from: https://coronavirus.nt.gov.au/updates/items/all-territorians-aged-60-now-eligible-for-pfizer. </w:t>
      </w:r>
    </w:p>
    <w:p w14:paraId="21DBD12E"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Queensland Health. Queensland COVID-19 Update: 16 August 2021. [Internet.] Brisbane: Queensland Government, Queensland Health; 16 August 2021. [Accessed on 15 September 2021.] Available from: https://www.health.qld.gov.au/news-events/doh-media-releases/releases/queensland-covid-19-update17. </w:t>
      </w:r>
    </w:p>
    <w:p w14:paraId="08F487E3"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Queensland Health. COVID-19 Update: 3 September 2021. [Internet.] Brisbane: Queensland Government, Queensland Health; 3 September 2021. [Accessed on 15 September 2021.] Available from: https://www.health.qld.gov.au/news-events/doh-media-releases/releases/covid-19-update4. </w:t>
      </w:r>
    </w:p>
    <w:p w14:paraId="280DCF75"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Queensland Health. Queensland COVID-19 Update: 10 September 2021. [Internet.] Brisbane: Queensland Government, Queensland Health; 10 September 2021. [Accessed on 15 September 2021.] Available from: https://www.health.qld.gov.au/news-events/doh-media-releases/releases/queensland-covid-19-update18. </w:t>
      </w:r>
    </w:p>
    <w:p w14:paraId="34DC73A0"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Further protection for Tasmania against the Delta strain. [Internet.] Hobart: Tasmanian Government; 17 August 2021. [Accessed on 15 September 2021.] Available from: https://www.coronavirus.tas.gov.au/media-releases/further-protection-for-tasmania-against-the-delta-strain. </w:t>
      </w:r>
    </w:p>
    <w:p w14:paraId="084C9CD7"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w:t>
      </w:r>
      <w:r w:rsidRPr="003D48C0">
        <w:rPr>
          <w:rStyle w:val="Emphasis"/>
          <w:rFonts w:eastAsia="Times New Roman"/>
          <w:b w:val="0"/>
          <w:bCs w:val="0"/>
        </w:rPr>
        <w:t>Planning for a lockdown in Tasmania</w:t>
      </w:r>
      <w:r w:rsidRPr="003D48C0">
        <w:rPr>
          <w:rFonts w:eastAsia="Times New Roman"/>
        </w:rPr>
        <w:t xml:space="preserve">. Hobart: Tasmanian Government; August 2021. [Accessed on 15 September 2021.] Available from: https://www.coronavirus.tas.gov.au/__data/assets/pdf_file/0022/182209/V1.8_KOTOC_Planning-for-a-lockdown-Tas.pdf. </w:t>
      </w:r>
    </w:p>
    <w:p w14:paraId="7E29A42A"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Planning for a lockdown in Tasmania. [Internet.] Hobart: Tasmanian Government; 20 August 2021. [Accessed on 15 September 2021.] Available from: https://www.coronavirus.tas.gov.au/media-releases/planning-for-a-lockdown-in-tasmania. </w:t>
      </w:r>
    </w:p>
    <w:p w14:paraId="1E8BEB14"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Schools vaccination program starts at Elizabeth College. [Internet.] Hobart: Tasmanian Government; 22 August 2021. [Accessed on 15 September 2021.] Available from: https://www.coronavirus.tas.gov.au/media-releases/schools-vaccination-program-starts-at-elizabeth-college. </w:t>
      </w:r>
    </w:p>
    <w:p w14:paraId="78C60FA4"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Tasmanians must check in at business premises or face fines. [Internet.] Hobart: Tasmanian Government; 25 August 2021. [Accessed on 15 September 2021.] Available from: https://www.coronavirus.tas.gov.au/media-releases/tasmanians-must-check-in-at-business-premises-or-face-fines. </w:t>
      </w:r>
    </w:p>
    <w:p w14:paraId="6152FB51"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Checking in on public transport. [Internet.] Hobart: Tasmanian Government; 2 September 2021. [Accessed on 15 September 2021.] Available from: https://www.coronavirus.tas.gov.au/media-releases/checking-in-on-public-transport. </w:t>
      </w:r>
    </w:p>
    <w:p w14:paraId="47802C44"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Vaccination to be mandatory for health care workers. [Internet.] Hobart: Tasmanian Government; 3 September 2021. [Accessed on 15 September 2021.] Available from: https://www.coronavirus.tas.gov.au/media-releases/vaccination-to-be-mandatory-for-health-care-workers. </w:t>
      </w:r>
    </w:p>
    <w:p w14:paraId="1B2EFE61"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Seasonal worker agreement extended with Victoria. [Internet.] Hobart: Tasmanian Government; 7 September 2021. [Accessed on 15 September 2021.] Available from: https://www.coronavirus.tas.gov.au/media-releases/2021-22-sport-and-recreation-equipment-grants-program-are-now-open. </w:t>
      </w:r>
    </w:p>
    <w:p w14:paraId="74E18243"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Tasmanian Government. Additional measures to keep Tasmanians safe. [Internet.] Hobart: Tasmanian Government; 10 September 2021. [Accessed on 15 September 2021.] Available from: https://www.coronavirus.tas.gov.au/media-releases/additional-measures-to-keep-tasmanians-safe. </w:t>
      </w:r>
    </w:p>
    <w:p w14:paraId="0A4F38EF" w14:textId="77777777" w:rsidR="00612295" w:rsidRPr="003D48C0" w:rsidRDefault="00612295" w:rsidP="003D48C0">
      <w:pPr>
        <w:pStyle w:val="ListParagraph"/>
        <w:numPr>
          <w:ilvl w:val="0"/>
          <w:numId w:val="9"/>
        </w:numPr>
        <w:rPr>
          <w:rFonts w:eastAsia="Times New Roman"/>
        </w:rPr>
      </w:pPr>
      <w:r w:rsidRPr="003D48C0">
        <w:rPr>
          <w:rFonts w:eastAsia="Times New Roman"/>
        </w:rPr>
        <w:lastRenderedPageBreak/>
        <w:t xml:space="preserve">Victoria State Government Department of Health and Human Services (DHHS). Coronavirus update for Victoria - 16 August 2021. [Internet.] Melbourne: Victoria State Government, DHHS; 16 August 2021. [Accessed on 15 September 2021.] Available from: https://www.dhhs.vic.gov.au/coronavirus-update-victoria-16-august-2021. </w:t>
      </w:r>
    </w:p>
    <w:p w14:paraId="1C47CE37"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Premier of Victoria. Extended Melbourne Lockdown to Keep Victorians Safe. [Internet.] Melbourne: Victoria State Government, Office of the Premier; 16 August 2021. [Accessed on 15 September 2021.] Available from: https://www.premier.vic.gov.au/extended-melbourne-lockdown-keep-victorians-safe-0. </w:t>
      </w:r>
    </w:p>
    <w:p w14:paraId="09BEDFF6"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Premier of Victoria. Lockdown Across Regional Victoria To Keep Us Safe. [Internet.] Melbourne: Victoria State Government, Office of the Premier; 21 August 2021. [Accessed on 15 September 2021.] Available from: https://www.premier.vic.gov.au/lockdown-across-regional-victoria-keep-us-safe. </w:t>
      </w:r>
    </w:p>
    <w:p w14:paraId="7AA29AE2"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DHHS. Coronavirus update for Victoria - 2 September 2021. [Internet.] Melbourne: Victoria State Government, DHHS; 2 September 2021. [Accessed on 15 September 2021.] Available from: https://www.dhhs.vic.gov.au/coronavirus-update-victoria-2-september-2021. </w:t>
      </w:r>
    </w:p>
    <w:p w14:paraId="4B1CCAFC"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DHHS. Coronavirus update for Victoria - 4 September 2021. [Internet.] Melbourne: Victoria State Government, DHHS; 4 September 2021. [Accessed on 15 September 2021.] Available from: https://www.dhhs.vic.gov.au/coronavirus-update-victoria-4-september-2021. </w:t>
      </w:r>
    </w:p>
    <w:p w14:paraId="2AA3FB31"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Premier of Victoria. Coronavirus Restrictions </w:t>
      </w:r>
      <w:proofErr w:type="gramStart"/>
      <w:r w:rsidRPr="003D48C0">
        <w:rPr>
          <w:rFonts w:eastAsia="Times New Roman"/>
        </w:rPr>
        <w:t>To</w:t>
      </w:r>
      <w:proofErr w:type="gramEnd"/>
      <w:r w:rsidRPr="003D48C0">
        <w:rPr>
          <w:rFonts w:eastAsia="Times New Roman"/>
        </w:rPr>
        <w:t xml:space="preserve"> Lift For Regional Victoria. [Internet.] Melbourne: Victoria State Government, Office of the Premier; 8 September 2021. [Accessed on 15 September 2021.] Available from: https://www.premier.vic.gov.au/coronavirus-restrictions-lift-regional-victoria-0. </w:t>
      </w:r>
    </w:p>
    <w:p w14:paraId="6FE851E0"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DHHS. Coronavirus update for Victoria - 10 September 2021. [Internet.] Melbourne: Victoria State Government, DHHS; 10 September 2021. [Accessed on 15 September 2021.] Available from: https://www.dhhs.vic.gov.au/coronavirus-update-victoria-10-september-2021. </w:t>
      </w:r>
    </w:p>
    <w:p w14:paraId="3E99FEBA"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Western Australia Department of Health. COVID-19 vaccine bookings open to everyone 16 years and over. [Internet.] Perth: Government of Western Australia, Department of the Premier and Cabinet; 16 August 2021. [Accessed on 15 September 2021.] Available from: https://www.wa.gov.au/government/announcements/covid-19-vaccine-bookings-open-everyone-16-years-and-over. </w:t>
      </w:r>
    </w:p>
    <w:p w14:paraId="34CE0541" w14:textId="77777777" w:rsidR="00612295" w:rsidRPr="003D48C0" w:rsidRDefault="00612295" w:rsidP="003D48C0">
      <w:pPr>
        <w:pStyle w:val="ListParagraph"/>
        <w:numPr>
          <w:ilvl w:val="0"/>
          <w:numId w:val="9"/>
        </w:numPr>
        <w:rPr>
          <w:rFonts w:eastAsia="Times New Roman"/>
        </w:rPr>
      </w:pPr>
      <w:r w:rsidRPr="003D48C0">
        <w:rPr>
          <w:rFonts w:eastAsia="Times New Roman"/>
        </w:rPr>
        <w:t xml:space="preserve">Western Australia Department of Health. Mandatory COVID-19 vaccines for Western Australian health care workers. [Internet.] Perth: Government of Western Australia, Department of the Premier and Cabinet; 2 September 2021. [Accessed on 15 September 2021.] Available from: https://www.wa.gov.au/government/announcements/mandatory-covid-19-vaccines-western-australian-health-care-workers. </w:t>
      </w:r>
    </w:p>
    <w:p w14:paraId="5EAC66BA" w14:textId="77777777" w:rsidR="00612295" w:rsidRPr="003D48C0" w:rsidRDefault="00612295" w:rsidP="003D48C0">
      <w:pPr>
        <w:pStyle w:val="ListParagraph"/>
        <w:numPr>
          <w:ilvl w:val="0"/>
          <w:numId w:val="9"/>
        </w:numPr>
        <w:rPr>
          <w:rFonts w:eastAsia="Times New Roman"/>
        </w:rPr>
      </w:pPr>
      <w:r w:rsidRPr="003D48C0">
        <w:rPr>
          <w:rFonts w:eastAsia="Times New Roman"/>
        </w:rPr>
        <w:t>Western Australia Department of Health. New requirements for transport, freight and logistics drivers coming into WA. [Internet.] Perth: Government of Western Australia, Department of the Premier and Cabinet; 8 September 2021. [Accessed on 15 September 2021.] Available from: https://www.wa.gov.au/government/announcements/new-requirements-transport-freight-and-logistics-drivers-coming-wa.</w:t>
      </w:r>
    </w:p>
    <w:p w14:paraId="69D8BE4A" w14:textId="77777777" w:rsidR="001957FA" w:rsidRDefault="001957FA" w:rsidP="00D57237">
      <w:pPr>
        <w:pStyle w:val="Heading1"/>
        <w:sectPr w:rsidR="001957FA" w:rsidSect="00A30C37">
          <w:footnotePr>
            <w:numFmt w:val="lowerRoman"/>
          </w:footnotePr>
          <w:pgSz w:w="11906" w:h="16838"/>
          <w:pgMar w:top="720" w:right="720" w:bottom="1134" w:left="720" w:header="709" w:footer="284" w:gutter="0"/>
          <w:cols w:space="708"/>
          <w:titlePg/>
          <w:docGrid w:linePitch="360"/>
        </w:sectPr>
      </w:pPr>
    </w:p>
    <w:p w14:paraId="16EDDECA" w14:textId="20C61322" w:rsidR="00612295" w:rsidRPr="00D57237" w:rsidRDefault="00612295" w:rsidP="00D57237">
      <w:pPr>
        <w:pStyle w:val="Heading1"/>
      </w:pPr>
      <w:r w:rsidRPr="00D57237">
        <w:lastRenderedPageBreak/>
        <w:t>Appendix A: Supplementary figures and tables</w:t>
      </w:r>
    </w:p>
    <w:p w14:paraId="2F12F7F1" w14:textId="77777777" w:rsidR="00F300C3" w:rsidRPr="0027470D" w:rsidRDefault="00F300C3" w:rsidP="0027470D">
      <w:pPr>
        <w:pStyle w:val="CDIFigures"/>
      </w:pPr>
      <w:r w:rsidRPr="0027470D">
        <w:rPr>
          <w:rStyle w:val="Strong"/>
          <w:b/>
          <w:bCs w:val="0"/>
        </w:rPr>
        <w:t>Table A.1: COVID-19 cases and rates per 100,000 population, by age group, sex, and diagnosis date, Australia, 12 September 2021</w:t>
      </w:r>
      <w:proofErr w:type="gramStart"/>
      <w:r w:rsidRPr="0027470D">
        <w:rPr>
          <w:rStyle w:val="Strong"/>
          <w:b/>
          <w:bCs w:val="0"/>
          <w:vertAlign w:val="superscript"/>
        </w:rPr>
        <w:t>a,b</w:t>
      </w:r>
      <w:proofErr w:type="gramEnd"/>
    </w:p>
    <w:tbl>
      <w:tblPr>
        <w:tblStyle w:val="CDI-StandardTable"/>
        <w:tblW w:w="0" w:type="auto"/>
        <w:tblLook w:val="04A0" w:firstRow="1" w:lastRow="0" w:firstColumn="1" w:lastColumn="0" w:noHBand="0" w:noVBand="1"/>
        <w:tblDescription w:val="This table summarises cumulative and four-weekly confirmed cases and rates per 100,000 population, as a function of age group and sex."/>
      </w:tblPr>
      <w:tblGrid>
        <w:gridCol w:w="1417"/>
        <w:gridCol w:w="706"/>
        <w:gridCol w:w="905"/>
        <w:gridCol w:w="990"/>
        <w:gridCol w:w="849"/>
        <w:gridCol w:w="991"/>
        <w:gridCol w:w="1250"/>
        <w:gridCol w:w="978"/>
        <w:gridCol w:w="1256"/>
        <w:gridCol w:w="1389"/>
        <w:gridCol w:w="1245"/>
        <w:gridCol w:w="1256"/>
        <w:gridCol w:w="1752"/>
      </w:tblGrid>
      <w:tr w:rsidR="001957FA" w:rsidRPr="0011436F" w14:paraId="4A5811F3" w14:textId="77777777" w:rsidTr="00BC46BF">
        <w:trPr>
          <w:cnfStyle w:val="100000000000" w:firstRow="1" w:lastRow="0" w:firstColumn="0" w:lastColumn="0" w:oddVBand="0" w:evenVBand="0" w:oddHBand="0" w:evenHBand="0" w:firstRowFirstColumn="0" w:firstRowLastColumn="0" w:lastRowFirstColumn="0" w:lastRowLastColumn="0"/>
          <w:tblHeader/>
        </w:trPr>
        <w:tc>
          <w:tcPr>
            <w:tcW w:w="1418" w:type="dxa"/>
            <w:vMerge w:val="restart"/>
            <w:tcBorders>
              <w:bottom w:val="single" w:sz="2" w:space="0" w:color="FFFFFF" w:themeColor="background1"/>
              <w:right w:val="single" w:sz="2" w:space="0" w:color="FFFFFF" w:themeColor="background1"/>
            </w:tcBorders>
            <w:hideMark/>
          </w:tcPr>
          <w:p w14:paraId="05BEB04C" w14:textId="77777777" w:rsidR="00F300C3" w:rsidRPr="0011436F" w:rsidRDefault="00F300C3" w:rsidP="0099623F">
            <w:pPr>
              <w:pStyle w:val="NormalWeb"/>
              <w:rPr>
                <w:color w:val="FFFFFF" w:themeColor="background1"/>
              </w:rPr>
            </w:pPr>
            <w:r w:rsidRPr="0011436F">
              <w:rPr>
                <w:color w:val="FFFFFF" w:themeColor="background1"/>
              </w:rPr>
              <w:t>Age group</w:t>
            </w:r>
          </w:p>
        </w:tc>
        <w:tc>
          <w:tcPr>
            <w:tcW w:w="5685" w:type="dxa"/>
            <w:gridSpan w:val="6"/>
            <w:tcBorders>
              <w:left w:val="single" w:sz="2" w:space="0" w:color="FFFFFF" w:themeColor="background1"/>
              <w:bottom w:val="single" w:sz="2" w:space="0" w:color="FFFFFF" w:themeColor="background1"/>
              <w:right w:val="single" w:sz="2" w:space="0" w:color="FFFFFF" w:themeColor="background1"/>
            </w:tcBorders>
            <w:hideMark/>
          </w:tcPr>
          <w:p w14:paraId="7F7DFB9E" w14:textId="77777777" w:rsidR="00F300C3" w:rsidRPr="0011436F" w:rsidRDefault="00F300C3" w:rsidP="0099623F">
            <w:pPr>
              <w:pStyle w:val="NormalWeb"/>
              <w:jc w:val="center"/>
              <w:rPr>
                <w:color w:val="FFFFFF" w:themeColor="background1"/>
              </w:rPr>
            </w:pPr>
            <w:r w:rsidRPr="0011436F">
              <w:rPr>
                <w:color w:val="FFFFFF" w:themeColor="background1"/>
              </w:rPr>
              <w:t>This reporting period</w:t>
            </w:r>
          </w:p>
        </w:tc>
        <w:tc>
          <w:tcPr>
            <w:tcW w:w="7881" w:type="dxa"/>
            <w:gridSpan w:val="6"/>
            <w:tcBorders>
              <w:left w:val="single" w:sz="2" w:space="0" w:color="FFFFFF" w:themeColor="background1"/>
              <w:bottom w:val="single" w:sz="2" w:space="0" w:color="FFFFFF" w:themeColor="background1"/>
            </w:tcBorders>
            <w:hideMark/>
          </w:tcPr>
          <w:p w14:paraId="1F2ADC74" w14:textId="77777777" w:rsidR="00F300C3" w:rsidRPr="0011436F" w:rsidRDefault="00F300C3" w:rsidP="0099623F">
            <w:pPr>
              <w:pStyle w:val="NormalWeb"/>
              <w:jc w:val="center"/>
              <w:rPr>
                <w:color w:val="FFFFFF" w:themeColor="background1"/>
              </w:rPr>
            </w:pPr>
            <w:r w:rsidRPr="0011436F">
              <w:rPr>
                <w:color w:val="FFFFFF" w:themeColor="background1"/>
              </w:rPr>
              <w:t xml:space="preserve">This </w:t>
            </w:r>
            <w:proofErr w:type="spellStart"/>
            <w:r w:rsidRPr="0011436F">
              <w:rPr>
                <w:color w:val="FFFFFF" w:themeColor="background1"/>
              </w:rPr>
              <w:t>year</w:t>
            </w:r>
            <w:r w:rsidRPr="0011436F">
              <w:rPr>
                <w:color w:val="FFFFFF" w:themeColor="background1"/>
                <w:vertAlign w:val="superscript"/>
              </w:rPr>
              <w:t>c</w:t>
            </w:r>
            <w:proofErr w:type="spellEnd"/>
          </w:p>
        </w:tc>
      </w:tr>
      <w:tr w:rsidR="001957FA" w:rsidRPr="0011436F" w14:paraId="328B9922" w14:textId="77777777" w:rsidTr="00BC46BF">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bottom w:val="single" w:sz="2" w:space="0" w:color="FFFFFF" w:themeColor="background1"/>
              <w:right w:val="single" w:sz="2" w:space="0" w:color="FFFFFF" w:themeColor="background1"/>
            </w:tcBorders>
            <w:hideMark/>
          </w:tcPr>
          <w:p w14:paraId="2FB57FE1" w14:textId="77777777" w:rsidR="00F300C3" w:rsidRPr="0011436F" w:rsidRDefault="00F300C3" w:rsidP="0099623F">
            <w:pPr>
              <w:rPr>
                <w:color w:val="FFFFFF" w:themeColor="background1"/>
                <w:sz w:val="24"/>
                <w:szCs w:val="24"/>
              </w:rPr>
            </w:pPr>
          </w:p>
        </w:tc>
        <w:tc>
          <w:tcPr>
            <w:tcW w:w="5685" w:type="dxa"/>
            <w:gridSpan w:val="6"/>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0F7A417" w14:textId="77777777" w:rsidR="00F300C3" w:rsidRPr="0011436F" w:rsidRDefault="00F300C3" w:rsidP="0099623F">
            <w:pPr>
              <w:pStyle w:val="NormalWeb"/>
              <w:jc w:val="center"/>
              <w:rPr>
                <w:color w:val="FFFFFF" w:themeColor="background1"/>
              </w:rPr>
            </w:pPr>
            <w:r w:rsidRPr="0011436F">
              <w:rPr>
                <w:color w:val="FFFFFF" w:themeColor="background1"/>
              </w:rPr>
              <w:t>30 August 2021 – 12 September 2021</w:t>
            </w:r>
          </w:p>
        </w:tc>
        <w:tc>
          <w:tcPr>
            <w:tcW w:w="7881" w:type="dxa"/>
            <w:gridSpan w:val="6"/>
            <w:tcBorders>
              <w:top w:val="single" w:sz="2" w:space="0" w:color="FFFFFF" w:themeColor="background1"/>
              <w:left w:val="single" w:sz="2" w:space="0" w:color="FFFFFF" w:themeColor="background1"/>
              <w:bottom w:val="single" w:sz="2" w:space="0" w:color="FFFFFF" w:themeColor="background1"/>
            </w:tcBorders>
            <w:hideMark/>
          </w:tcPr>
          <w:p w14:paraId="175EFFE4" w14:textId="77777777" w:rsidR="00F300C3" w:rsidRPr="0011436F" w:rsidRDefault="00F300C3" w:rsidP="0099623F">
            <w:pPr>
              <w:pStyle w:val="NormalWeb"/>
              <w:jc w:val="center"/>
              <w:rPr>
                <w:color w:val="FFFFFF" w:themeColor="background1"/>
              </w:rPr>
            </w:pPr>
            <w:r w:rsidRPr="0011436F">
              <w:rPr>
                <w:color w:val="FFFFFF" w:themeColor="background1"/>
              </w:rPr>
              <w:t>1 January 2021 – 12 September 2021</w:t>
            </w:r>
          </w:p>
        </w:tc>
      </w:tr>
      <w:tr w:rsidR="001957FA" w:rsidRPr="0011436F" w14:paraId="0A5B8DC4" w14:textId="77777777" w:rsidTr="00BC46BF">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bottom w:val="single" w:sz="2" w:space="0" w:color="FFFFFF" w:themeColor="background1"/>
              <w:right w:val="single" w:sz="2" w:space="0" w:color="FFFFFF" w:themeColor="background1"/>
            </w:tcBorders>
            <w:hideMark/>
          </w:tcPr>
          <w:p w14:paraId="307E75E2" w14:textId="77777777" w:rsidR="00F300C3" w:rsidRPr="0011436F" w:rsidRDefault="00F300C3" w:rsidP="0099623F">
            <w:pPr>
              <w:rPr>
                <w:color w:val="FFFFFF" w:themeColor="background1"/>
                <w:sz w:val="24"/>
                <w:szCs w:val="24"/>
              </w:rPr>
            </w:pPr>
          </w:p>
        </w:tc>
        <w:tc>
          <w:tcPr>
            <w:tcW w:w="2594"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7E7D3258" w14:textId="77777777" w:rsidR="00F300C3" w:rsidRPr="0011436F" w:rsidRDefault="00F300C3" w:rsidP="0099623F">
            <w:pPr>
              <w:pStyle w:val="NormalWeb"/>
              <w:jc w:val="center"/>
              <w:rPr>
                <w:color w:val="FFFFFF" w:themeColor="background1"/>
              </w:rPr>
            </w:pPr>
            <w:r w:rsidRPr="0011436F">
              <w:rPr>
                <w:color w:val="FFFFFF" w:themeColor="background1"/>
              </w:rPr>
              <w:t>Cases</w:t>
            </w:r>
          </w:p>
        </w:tc>
        <w:tc>
          <w:tcPr>
            <w:tcW w:w="3091"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2401529B" w14:textId="77777777" w:rsidR="00F300C3" w:rsidRPr="0011436F" w:rsidRDefault="00F300C3" w:rsidP="0099623F">
            <w:pPr>
              <w:pStyle w:val="NormalWeb"/>
              <w:jc w:val="center"/>
              <w:rPr>
                <w:color w:val="FFFFFF" w:themeColor="background1"/>
              </w:rPr>
            </w:pPr>
            <w:r w:rsidRPr="0011436F">
              <w:rPr>
                <w:color w:val="FFFFFF" w:themeColor="background1"/>
              </w:rPr>
              <w:t>Rate per 100,000 population</w:t>
            </w:r>
          </w:p>
        </w:tc>
        <w:tc>
          <w:tcPr>
            <w:tcW w:w="3625" w:type="dxa"/>
            <w:gridSpan w:val="3"/>
            <w:tcBorders>
              <w:top w:val="single" w:sz="2" w:space="0" w:color="FFFFFF" w:themeColor="background1"/>
              <w:left w:val="single" w:sz="2" w:space="0" w:color="FFFFFF" w:themeColor="background1"/>
              <w:bottom w:val="single" w:sz="2" w:space="0" w:color="FFFFFF" w:themeColor="background1"/>
              <w:right w:val="single" w:sz="2" w:space="0" w:color="FFFFFF" w:themeColor="background1"/>
            </w:tcBorders>
            <w:hideMark/>
          </w:tcPr>
          <w:p w14:paraId="61CAC8DE" w14:textId="77777777" w:rsidR="00F300C3" w:rsidRPr="0011436F" w:rsidRDefault="00F300C3" w:rsidP="0099623F">
            <w:pPr>
              <w:pStyle w:val="NormalWeb"/>
              <w:jc w:val="center"/>
              <w:rPr>
                <w:color w:val="FFFFFF" w:themeColor="background1"/>
              </w:rPr>
            </w:pPr>
            <w:r w:rsidRPr="0011436F">
              <w:rPr>
                <w:color w:val="FFFFFF" w:themeColor="background1"/>
              </w:rPr>
              <w:t>Cases</w:t>
            </w:r>
          </w:p>
        </w:tc>
        <w:tc>
          <w:tcPr>
            <w:tcW w:w="4256" w:type="dxa"/>
            <w:gridSpan w:val="3"/>
            <w:tcBorders>
              <w:top w:val="single" w:sz="2" w:space="0" w:color="FFFFFF" w:themeColor="background1"/>
              <w:left w:val="single" w:sz="2" w:space="0" w:color="FFFFFF" w:themeColor="background1"/>
              <w:bottom w:val="single" w:sz="2" w:space="0" w:color="FFFFFF" w:themeColor="background1"/>
            </w:tcBorders>
            <w:hideMark/>
          </w:tcPr>
          <w:p w14:paraId="3B88CE35" w14:textId="77777777" w:rsidR="00F300C3" w:rsidRPr="0011436F" w:rsidRDefault="00F300C3" w:rsidP="0099623F">
            <w:pPr>
              <w:pStyle w:val="NormalWeb"/>
              <w:jc w:val="center"/>
              <w:rPr>
                <w:color w:val="FFFFFF" w:themeColor="background1"/>
              </w:rPr>
            </w:pPr>
            <w:r w:rsidRPr="0011436F">
              <w:rPr>
                <w:color w:val="FFFFFF" w:themeColor="background1"/>
              </w:rPr>
              <w:t>Rate per 100,000 population</w:t>
            </w:r>
          </w:p>
        </w:tc>
      </w:tr>
      <w:tr w:rsidR="001957FA" w:rsidRPr="0011436F" w14:paraId="2780B888" w14:textId="77777777" w:rsidTr="00BC46BF">
        <w:trPr>
          <w:cnfStyle w:val="100000000000" w:firstRow="1" w:lastRow="0" w:firstColumn="0" w:lastColumn="0" w:oddVBand="0" w:evenVBand="0" w:oddHBand="0" w:evenHBand="0" w:firstRowFirstColumn="0" w:firstRowLastColumn="0" w:lastRowFirstColumn="0" w:lastRowLastColumn="0"/>
          <w:tblHeader/>
        </w:trPr>
        <w:tc>
          <w:tcPr>
            <w:tcW w:w="1418" w:type="dxa"/>
            <w:vMerge/>
            <w:tcBorders>
              <w:top w:val="single" w:sz="2" w:space="0" w:color="FFFFFF" w:themeColor="background1"/>
              <w:right w:val="single" w:sz="2" w:space="0" w:color="FFFFFF" w:themeColor="background1"/>
            </w:tcBorders>
            <w:hideMark/>
          </w:tcPr>
          <w:p w14:paraId="755A48C1" w14:textId="77777777" w:rsidR="00F300C3" w:rsidRPr="0011436F" w:rsidRDefault="00F300C3" w:rsidP="0099623F">
            <w:pPr>
              <w:rPr>
                <w:color w:val="FFFFFF" w:themeColor="background1"/>
                <w:sz w:val="24"/>
                <w:szCs w:val="24"/>
              </w:rPr>
            </w:pPr>
          </w:p>
        </w:tc>
        <w:tc>
          <w:tcPr>
            <w:tcW w:w="699" w:type="dxa"/>
            <w:tcBorders>
              <w:top w:val="single" w:sz="2" w:space="0" w:color="FFFFFF" w:themeColor="background1"/>
              <w:left w:val="single" w:sz="2" w:space="0" w:color="FFFFFF" w:themeColor="background1"/>
              <w:right w:val="single" w:sz="2" w:space="0" w:color="FFFFFF" w:themeColor="background1"/>
            </w:tcBorders>
            <w:hideMark/>
          </w:tcPr>
          <w:p w14:paraId="23A608EE" w14:textId="77777777" w:rsidR="00F300C3" w:rsidRPr="0011436F" w:rsidRDefault="00F300C3" w:rsidP="0099623F">
            <w:pPr>
              <w:pStyle w:val="NormalWeb"/>
              <w:jc w:val="center"/>
              <w:rPr>
                <w:color w:val="FFFFFF" w:themeColor="background1"/>
              </w:rPr>
            </w:pPr>
            <w:r w:rsidRPr="0011436F">
              <w:rPr>
                <w:color w:val="FFFFFF" w:themeColor="background1"/>
              </w:rPr>
              <w:t>Male</w:t>
            </w:r>
          </w:p>
        </w:tc>
        <w:tc>
          <w:tcPr>
            <w:tcW w:w="905" w:type="dxa"/>
            <w:tcBorders>
              <w:top w:val="single" w:sz="2" w:space="0" w:color="FFFFFF" w:themeColor="background1"/>
              <w:left w:val="single" w:sz="2" w:space="0" w:color="FFFFFF" w:themeColor="background1"/>
              <w:right w:val="single" w:sz="2" w:space="0" w:color="FFFFFF" w:themeColor="background1"/>
            </w:tcBorders>
            <w:hideMark/>
          </w:tcPr>
          <w:p w14:paraId="33B14CD5" w14:textId="77777777" w:rsidR="00F300C3" w:rsidRPr="0011436F" w:rsidRDefault="00F300C3" w:rsidP="0099623F">
            <w:pPr>
              <w:pStyle w:val="NormalWeb"/>
              <w:jc w:val="center"/>
              <w:rPr>
                <w:color w:val="FFFFFF" w:themeColor="background1"/>
              </w:rPr>
            </w:pPr>
            <w:r w:rsidRPr="0011436F">
              <w:rPr>
                <w:color w:val="FFFFFF" w:themeColor="background1"/>
              </w:rPr>
              <w:t>Female</w:t>
            </w:r>
          </w:p>
        </w:tc>
        <w:tc>
          <w:tcPr>
            <w:tcW w:w="990" w:type="dxa"/>
            <w:tcBorders>
              <w:top w:val="single" w:sz="2" w:space="0" w:color="FFFFFF" w:themeColor="background1"/>
              <w:left w:val="single" w:sz="2" w:space="0" w:color="FFFFFF" w:themeColor="background1"/>
              <w:right w:val="single" w:sz="2" w:space="0" w:color="FFFFFF" w:themeColor="background1"/>
            </w:tcBorders>
            <w:hideMark/>
          </w:tcPr>
          <w:p w14:paraId="33DD4DF6" w14:textId="77777777" w:rsidR="00F300C3" w:rsidRPr="0011436F" w:rsidRDefault="00F300C3" w:rsidP="0099623F">
            <w:pPr>
              <w:pStyle w:val="NormalWeb"/>
              <w:jc w:val="center"/>
              <w:rPr>
                <w:color w:val="FFFFFF" w:themeColor="background1"/>
              </w:rPr>
            </w:pPr>
            <w:r w:rsidRPr="0011436F">
              <w:rPr>
                <w:color w:val="FFFFFF" w:themeColor="background1"/>
              </w:rPr>
              <w:t>People</w:t>
            </w:r>
          </w:p>
        </w:tc>
        <w:tc>
          <w:tcPr>
            <w:tcW w:w="849" w:type="dxa"/>
            <w:tcBorders>
              <w:top w:val="single" w:sz="2" w:space="0" w:color="FFFFFF" w:themeColor="background1"/>
              <w:left w:val="single" w:sz="2" w:space="0" w:color="FFFFFF" w:themeColor="background1"/>
              <w:right w:val="single" w:sz="2" w:space="0" w:color="FFFFFF" w:themeColor="background1"/>
            </w:tcBorders>
            <w:hideMark/>
          </w:tcPr>
          <w:p w14:paraId="4C04B440" w14:textId="77777777" w:rsidR="00F300C3" w:rsidRPr="0011436F" w:rsidRDefault="00F300C3" w:rsidP="0099623F">
            <w:pPr>
              <w:pStyle w:val="NormalWeb"/>
              <w:jc w:val="center"/>
              <w:rPr>
                <w:color w:val="FFFFFF" w:themeColor="background1"/>
              </w:rPr>
            </w:pPr>
            <w:r w:rsidRPr="0011436F">
              <w:rPr>
                <w:color w:val="FFFFFF" w:themeColor="background1"/>
              </w:rPr>
              <w:t>Male</w:t>
            </w:r>
          </w:p>
        </w:tc>
        <w:tc>
          <w:tcPr>
            <w:tcW w:w="991" w:type="dxa"/>
            <w:tcBorders>
              <w:top w:val="single" w:sz="2" w:space="0" w:color="FFFFFF" w:themeColor="background1"/>
              <w:left w:val="single" w:sz="2" w:space="0" w:color="FFFFFF" w:themeColor="background1"/>
              <w:right w:val="single" w:sz="2" w:space="0" w:color="FFFFFF" w:themeColor="background1"/>
            </w:tcBorders>
            <w:hideMark/>
          </w:tcPr>
          <w:p w14:paraId="6B83EBF1" w14:textId="77777777" w:rsidR="00F300C3" w:rsidRPr="0011436F" w:rsidRDefault="00F300C3" w:rsidP="0099623F">
            <w:pPr>
              <w:pStyle w:val="NormalWeb"/>
              <w:jc w:val="center"/>
              <w:rPr>
                <w:color w:val="FFFFFF" w:themeColor="background1"/>
              </w:rPr>
            </w:pPr>
            <w:r w:rsidRPr="0011436F">
              <w:rPr>
                <w:color w:val="FFFFFF" w:themeColor="background1"/>
              </w:rPr>
              <w:t>Female</w:t>
            </w:r>
          </w:p>
        </w:tc>
        <w:tc>
          <w:tcPr>
            <w:tcW w:w="1251" w:type="dxa"/>
            <w:tcBorders>
              <w:top w:val="single" w:sz="2" w:space="0" w:color="FFFFFF" w:themeColor="background1"/>
              <w:left w:val="single" w:sz="2" w:space="0" w:color="FFFFFF" w:themeColor="background1"/>
              <w:right w:val="single" w:sz="2" w:space="0" w:color="FFFFFF" w:themeColor="background1"/>
            </w:tcBorders>
            <w:hideMark/>
          </w:tcPr>
          <w:p w14:paraId="3EFF5D95" w14:textId="77777777" w:rsidR="00F300C3" w:rsidRPr="0011436F" w:rsidRDefault="00F300C3" w:rsidP="0099623F">
            <w:pPr>
              <w:pStyle w:val="NormalWeb"/>
              <w:jc w:val="center"/>
              <w:rPr>
                <w:color w:val="FFFFFF" w:themeColor="background1"/>
              </w:rPr>
            </w:pPr>
            <w:r w:rsidRPr="0011436F">
              <w:rPr>
                <w:color w:val="FFFFFF" w:themeColor="background1"/>
              </w:rPr>
              <w:t>People</w:t>
            </w:r>
          </w:p>
        </w:tc>
        <w:tc>
          <w:tcPr>
            <w:tcW w:w="978" w:type="dxa"/>
            <w:tcBorders>
              <w:top w:val="single" w:sz="2" w:space="0" w:color="FFFFFF" w:themeColor="background1"/>
              <w:left w:val="single" w:sz="2" w:space="0" w:color="FFFFFF" w:themeColor="background1"/>
              <w:right w:val="single" w:sz="2" w:space="0" w:color="FFFFFF" w:themeColor="background1"/>
            </w:tcBorders>
            <w:hideMark/>
          </w:tcPr>
          <w:p w14:paraId="65B5FFA8" w14:textId="77777777" w:rsidR="00F300C3" w:rsidRPr="0011436F" w:rsidRDefault="00F300C3" w:rsidP="0099623F">
            <w:pPr>
              <w:pStyle w:val="NormalWeb"/>
              <w:jc w:val="center"/>
              <w:rPr>
                <w:color w:val="FFFFFF" w:themeColor="background1"/>
              </w:rPr>
            </w:pPr>
            <w:r w:rsidRPr="0011436F">
              <w:rPr>
                <w:color w:val="FFFFFF" w:themeColor="background1"/>
              </w:rPr>
              <w:t>Male</w:t>
            </w:r>
          </w:p>
        </w:tc>
        <w:tc>
          <w:tcPr>
            <w:tcW w:w="1257" w:type="dxa"/>
            <w:tcBorders>
              <w:top w:val="single" w:sz="2" w:space="0" w:color="FFFFFF" w:themeColor="background1"/>
              <w:left w:val="single" w:sz="2" w:space="0" w:color="FFFFFF" w:themeColor="background1"/>
              <w:right w:val="single" w:sz="2" w:space="0" w:color="FFFFFF" w:themeColor="background1"/>
            </w:tcBorders>
            <w:hideMark/>
          </w:tcPr>
          <w:p w14:paraId="121DCAC4" w14:textId="77777777" w:rsidR="00F300C3" w:rsidRPr="0011436F" w:rsidRDefault="00F300C3" w:rsidP="0099623F">
            <w:pPr>
              <w:pStyle w:val="NormalWeb"/>
              <w:jc w:val="center"/>
              <w:rPr>
                <w:color w:val="FFFFFF" w:themeColor="background1"/>
              </w:rPr>
            </w:pPr>
            <w:r w:rsidRPr="0011436F">
              <w:rPr>
                <w:color w:val="FFFFFF" w:themeColor="background1"/>
              </w:rPr>
              <w:t>Female</w:t>
            </w:r>
          </w:p>
        </w:tc>
        <w:tc>
          <w:tcPr>
            <w:tcW w:w="1390" w:type="dxa"/>
            <w:tcBorders>
              <w:top w:val="single" w:sz="2" w:space="0" w:color="FFFFFF" w:themeColor="background1"/>
              <w:left w:val="single" w:sz="2" w:space="0" w:color="FFFFFF" w:themeColor="background1"/>
              <w:right w:val="single" w:sz="2" w:space="0" w:color="FFFFFF" w:themeColor="background1"/>
            </w:tcBorders>
            <w:hideMark/>
          </w:tcPr>
          <w:p w14:paraId="1BF888E9" w14:textId="77777777" w:rsidR="00F300C3" w:rsidRPr="0011436F" w:rsidRDefault="00F300C3" w:rsidP="0099623F">
            <w:pPr>
              <w:pStyle w:val="NormalWeb"/>
              <w:jc w:val="center"/>
              <w:rPr>
                <w:color w:val="FFFFFF" w:themeColor="background1"/>
              </w:rPr>
            </w:pPr>
            <w:r w:rsidRPr="0011436F">
              <w:rPr>
                <w:color w:val="FFFFFF" w:themeColor="background1"/>
              </w:rPr>
              <w:t>People</w:t>
            </w:r>
          </w:p>
        </w:tc>
        <w:tc>
          <w:tcPr>
            <w:tcW w:w="1246" w:type="dxa"/>
            <w:tcBorders>
              <w:top w:val="single" w:sz="2" w:space="0" w:color="FFFFFF" w:themeColor="background1"/>
              <w:left w:val="single" w:sz="2" w:space="0" w:color="FFFFFF" w:themeColor="background1"/>
              <w:right w:val="single" w:sz="2" w:space="0" w:color="FFFFFF" w:themeColor="background1"/>
            </w:tcBorders>
            <w:hideMark/>
          </w:tcPr>
          <w:p w14:paraId="28A925F7" w14:textId="77777777" w:rsidR="00F300C3" w:rsidRPr="0011436F" w:rsidRDefault="00F300C3" w:rsidP="0099623F">
            <w:pPr>
              <w:pStyle w:val="NormalWeb"/>
              <w:jc w:val="center"/>
              <w:rPr>
                <w:color w:val="FFFFFF" w:themeColor="background1"/>
              </w:rPr>
            </w:pPr>
            <w:r w:rsidRPr="0011436F">
              <w:rPr>
                <w:color w:val="FFFFFF" w:themeColor="background1"/>
              </w:rPr>
              <w:t>Male</w:t>
            </w:r>
          </w:p>
        </w:tc>
        <w:tc>
          <w:tcPr>
            <w:tcW w:w="1257" w:type="dxa"/>
            <w:tcBorders>
              <w:top w:val="single" w:sz="2" w:space="0" w:color="FFFFFF" w:themeColor="background1"/>
              <w:left w:val="single" w:sz="2" w:space="0" w:color="FFFFFF" w:themeColor="background1"/>
              <w:right w:val="single" w:sz="2" w:space="0" w:color="FFFFFF" w:themeColor="background1"/>
            </w:tcBorders>
            <w:hideMark/>
          </w:tcPr>
          <w:p w14:paraId="7C224DF7" w14:textId="77777777" w:rsidR="00F300C3" w:rsidRPr="0011436F" w:rsidRDefault="00F300C3" w:rsidP="0099623F">
            <w:pPr>
              <w:pStyle w:val="NormalWeb"/>
              <w:jc w:val="center"/>
              <w:rPr>
                <w:color w:val="FFFFFF" w:themeColor="background1"/>
              </w:rPr>
            </w:pPr>
            <w:r w:rsidRPr="0011436F">
              <w:rPr>
                <w:color w:val="FFFFFF" w:themeColor="background1"/>
              </w:rPr>
              <w:t>Female</w:t>
            </w:r>
          </w:p>
        </w:tc>
        <w:tc>
          <w:tcPr>
            <w:tcW w:w="1753" w:type="dxa"/>
            <w:tcBorders>
              <w:top w:val="single" w:sz="2" w:space="0" w:color="FFFFFF" w:themeColor="background1"/>
              <w:left w:val="single" w:sz="2" w:space="0" w:color="FFFFFF" w:themeColor="background1"/>
            </w:tcBorders>
            <w:hideMark/>
          </w:tcPr>
          <w:p w14:paraId="4B1609BF" w14:textId="77777777" w:rsidR="00F300C3" w:rsidRPr="0011436F" w:rsidRDefault="00F300C3" w:rsidP="0099623F">
            <w:pPr>
              <w:pStyle w:val="NormalWeb"/>
              <w:jc w:val="center"/>
              <w:rPr>
                <w:color w:val="FFFFFF" w:themeColor="background1"/>
              </w:rPr>
            </w:pPr>
            <w:r w:rsidRPr="0011436F">
              <w:rPr>
                <w:color w:val="FFFFFF" w:themeColor="background1"/>
              </w:rPr>
              <w:t>People</w:t>
            </w:r>
          </w:p>
        </w:tc>
      </w:tr>
      <w:tr w:rsidR="001957FA" w14:paraId="5DCDC905" w14:textId="77777777" w:rsidTr="00BC46BF">
        <w:tblPrEx>
          <w:tblCellMar>
            <w:top w:w="57" w:type="dxa"/>
            <w:left w:w="57" w:type="dxa"/>
            <w:bottom w:w="57" w:type="dxa"/>
            <w:right w:w="57" w:type="dxa"/>
          </w:tblCellMar>
        </w:tblPrEx>
        <w:tc>
          <w:tcPr>
            <w:tcW w:w="1418" w:type="dxa"/>
            <w:hideMark/>
          </w:tcPr>
          <w:p w14:paraId="10341293" w14:textId="77777777" w:rsidR="00F300C3" w:rsidRDefault="00F300C3" w:rsidP="0099623F">
            <w:pPr>
              <w:pStyle w:val="NormalWeb"/>
            </w:pPr>
            <w:r>
              <w:t>0–9</w:t>
            </w:r>
          </w:p>
        </w:tc>
        <w:tc>
          <w:tcPr>
            <w:tcW w:w="699" w:type="dxa"/>
            <w:hideMark/>
          </w:tcPr>
          <w:p w14:paraId="38B94AB9" w14:textId="77777777" w:rsidR="00F300C3" w:rsidRDefault="00F300C3" w:rsidP="0099623F">
            <w:pPr>
              <w:pStyle w:val="NormalWeb"/>
              <w:jc w:val="center"/>
            </w:pPr>
            <w:r>
              <w:t>1,599</w:t>
            </w:r>
          </w:p>
        </w:tc>
        <w:tc>
          <w:tcPr>
            <w:tcW w:w="905" w:type="dxa"/>
            <w:hideMark/>
          </w:tcPr>
          <w:p w14:paraId="37747353" w14:textId="77777777" w:rsidR="00F300C3" w:rsidRDefault="00F300C3" w:rsidP="0099623F">
            <w:pPr>
              <w:pStyle w:val="NormalWeb"/>
              <w:jc w:val="center"/>
            </w:pPr>
            <w:r>
              <w:t>1,554</w:t>
            </w:r>
          </w:p>
        </w:tc>
        <w:tc>
          <w:tcPr>
            <w:tcW w:w="990" w:type="dxa"/>
            <w:hideMark/>
          </w:tcPr>
          <w:p w14:paraId="09790202" w14:textId="77777777" w:rsidR="00F300C3" w:rsidRDefault="00F300C3" w:rsidP="0099623F">
            <w:pPr>
              <w:pStyle w:val="NormalWeb"/>
              <w:jc w:val="center"/>
            </w:pPr>
            <w:r>
              <w:t>3,176</w:t>
            </w:r>
          </w:p>
        </w:tc>
        <w:tc>
          <w:tcPr>
            <w:tcW w:w="849" w:type="dxa"/>
            <w:hideMark/>
          </w:tcPr>
          <w:p w14:paraId="024ECBD1" w14:textId="77777777" w:rsidR="00F300C3" w:rsidRDefault="00F300C3" w:rsidP="0099623F">
            <w:pPr>
              <w:pStyle w:val="NormalWeb"/>
              <w:jc w:val="center"/>
            </w:pPr>
            <w:r>
              <w:t>98</w:t>
            </w:r>
          </w:p>
        </w:tc>
        <w:tc>
          <w:tcPr>
            <w:tcW w:w="991" w:type="dxa"/>
            <w:hideMark/>
          </w:tcPr>
          <w:p w14:paraId="23EDB02C" w14:textId="77777777" w:rsidR="00F300C3" w:rsidRDefault="00F300C3" w:rsidP="0099623F">
            <w:pPr>
              <w:pStyle w:val="NormalWeb"/>
              <w:jc w:val="center"/>
            </w:pPr>
            <w:r>
              <w:t>100</w:t>
            </w:r>
          </w:p>
        </w:tc>
        <w:tc>
          <w:tcPr>
            <w:tcW w:w="1251" w:type="dxa"/>
            <w:hideMark/>
          </w:tcPr>
          <w:p w14:paraId="708C5802" w14:textId="77777777" w:rsidR="00F300C3" w:rsidRDefault="00F300C3" w:rsidP="0099623F">
            <w:pPr>
              <w:pStyle w:val="NormalWeb"/>
              <w:jc w:val="center"/>
            </w:pPr>
            <w:r>
              <w:t>100</w:t>
            </w:r>
          </w:p>
        </w:tc>
        <w:tc>
          <w:tcPr>
            <w:tcW w:w="978" w:type="dxa"/>
            <w:hideMark/>
          </w:tcPr>
          <w:p w14:paraId="53193545" w14:textId="77777777" w:rsidR="00F300C3" w:rsidRDefault="00F300C3" w:rsidP="0099623F">
            <w:pPr>
              <w:pStyle w:val="NormalWeb"/>
              <w:jc w:val="center"/>
            </w:pPr>
            <w:r>
              <w:t>3,237</w:t>
            </w:r>
          </w:p>
        </w:tc>
        <w:tc>
          <w:tcPr>
            <w:tcW w:w="1257" w:type="dxa"/>
            <w:hideMark/>
          </w:tcPr>
          <w:p w14:paraId="091D6B51" w14:textId="77777777" w:rsidR="00F300C3" w:rsidRDefault="00F300C3" w:rsidP="0099623F">
            <w:pPr>
              <w:pStyle w:val="NormalWeb"/>
              <w:jc w:val="center"/>
            </w:pPr>
            <w:r>
              <w:t>3,112</w:t>
            </w:r>
          </w:p>
        </w:tc>
        <w:tc>
          <w:tcPr>
            <w:tcW w:w="1390" w:type="dxa"/>
            <w:hideMark/>
          </w:tcPr>
          <w:p w14:paraId="48AAAE55" w14:textId="77777777" w:rsidR="00F300C3" w:rsidRDefault="00F300C3" w:rsidP="0099623F">
            <w:pPr>
              <w:pStyle w:val="NormalWeb"/>
              <w:jc w:val="center"/>
            </w:pPr>
            <w:r>
              <w:t>6,404</w:t>
            </w:r>
          </w:p>
        </w:tc>
        <w:tc>
          <w:tcPr>
            <w:tcW w:w="1246" w:type="dxa"/>
            <w:hideMark/>
          </w:tcPr>
          <w:p w14:paraId="56EEDDA7" w14:textId="77777777" w:rsidR="00F300C3" w:rsidRDefault="00F300C3" w:rsidP="0099623F">
            <w:pPr>
              <w:pStyle w:val="NormalWeb"/>
              <w:jc w:val="center"/>
            </w:pPr>
            <w:r>
              <w:t>197.8</w:t>
            </w:r>
          </w:p>
        </w:tc>
        <w:tc>
          <w:tcPr>
            <w:tcW w:w="1257" w:type="dxa"/>
            <w:hideMark/>
          </w:tcPr>
          <w:p w14:paraId="24BA234A" w14:textId="77777777" w:rsidR="00F300C3" w:rsidRDefault="00F300C3" w:rsidP="0099623F">
            <w:pPr>
              <w:pStyle w:val="NormalWeb"/>
              <w:jc w:val="center"/>
            </w:pPr>
            <w:r>
              <w:t>201.0</w:t>
            </w:r>
          </w:p>
        </w:tc>
        <w:tc>
          <w:tcPr>
            <w:tcW w:w="1753" w:type="dxa"/>
            <w:hideMark/>
          </w:tcPr>
          <w:p w14:paraId="13E89CA3" w14:textId="77777777" w:rsidR="00F300C3" w:rsidRDefault="00F300C3" w:rsidP="0099623F">
            <w:pPr>
              <w:pStyle w:val="NormalWeb"/>
              <w:jc w:val="center"/>
            </w:pPr>
            <w:r>
              <w:t>201.1</w:t>
            </w:r>
          </w:p>
        </w:tc>
      </w:tr>
      <w:tr w:rsidR="001957FA" w14:paraId="457EABEB" w14:textId="77777777" w:rsidTr="00BC46B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3AA59A4F" w14:textId="77777777" w:rsidR="00F300C3" w:rsidRDefault="00F300C3" w:rsidP="0099623F">
            <w:pPr>
              <w:pStyle w:val="NormalWeb"/>
            </w:pPr>
            <w:r>
              <w:t>10–19</w:t>
            </w:r>
          </w:p>
        </w:tc>
        <w:tc>
          <w:tcPr>
            <w:tcW w:w="699" w:type="dxa"/>
            <w:hideMark/>
          </w:tcPr>
          <w:p w14:paraId="7E1DAC33" w14:textId="77777777" w:rsidR="00F300C3" w:rsidRDefault="00F300C3" w:rsidP="0099623F">
            <w:pPr>
              <w:pStyle w:val="NormalWeb"/>
              <w:jc w:val="center"/>
            </w:pPr>
            <w:r>
              <w:t>1,832</w:t>
            </w:r>
          </w:p>
        </w:tc>
        <w:tc>
          <w:tcPr>
            <w:tcW w:w="905" w:type="dxa"/>
            <w:hideMark/>
          </w:tcPr>
          <w:p w14:paraId="5364291F" w14:textId="77777777" w:rsidR="00F300C3" w:rsidRDefault="00F300C3" w:rsidP="0099623F">
            <w:pPr>
              <w:pStyle w:val="NormalWeb"/>
              <w:jc w:val="center"/>
            </w:pPr>
            <w:r>
              <w:t>1,710</w:t>
            </w:r>
          </w:p>
        </w:tc>
        <w:tc>
          <w:tcPr>
            <w:tcW w:w="990" w:type="dxa"/>
            <w:hideMark/>
          </w:tcPr>
          <w:p w14:paraId="448A6932" w14:textId="77777777" w:rsidR="00F300C3" w:rsidRDefault="00F300C3" w:rsidP="0099623F">
            <w:pPr>
              <w:pStyle w:val="NormalWeb"/>
              <w:jc w:val="center"/>
            </w:pPr>
            <w:r>
              <w:t>3,566</w:t>
            </w:r>
          </w:p>
        </w:tc>
        <w:tc>
          <w:tcPr>
            <w:tcW w:w="849" w:type="dxa"/>
            <w:hideMark/>
          </w:tcPr>
          <w:p w14:paraId="0CF28254" w14:textId="77777777" w:rsidR="00F300C3" w:rsidRDefault="00F300C3" w:rsidP="0099623F">
            <w:pPr>
              <w:pStyle w:val="NormalWeb"/>
              <w:jc w:val="center"/>
            </w:pPr>
            <w:r>
              <w:t>116</w:t>
            </w:r>
          </w:p>
        </w:tc>
        <w:tc>
          <w:tcPr>
            <w:tcW w:w="991" w:type="dxa"/>
            <w:hideMark/>
          </w:tcPr>
          <w:p w14:paraId="4E7E77DA" w14:textId="77777777" w:rsidR="00F300C3" w:rsidRDefault="00F300C3" w:rsidP="0099623F">
            <w:pPr>
              <w:pStyle w:val="NormalWeb"/>
              <w:jc w:val="center"/>
            </w:pPr>
            <w:r>
              <w:t>114</w:t>
            </w:r>
          </w:p>
        </w:tc>
        <w:tc>
          <w:tcPr>
            <w:tcW w:w="1251" w:type="dxa"/>
            <w:hideMark/>
          </w:tcPr>
          <w:p w14:paraId="64C8CDE5" w14:textId="77777777" w:rsidR="00F300C3" w:rsidRDefault="00F300C3" w:rsidP="0099623F">
            <w:pPr>
              <w:pStyle w:val="NormalWeb"/>
              <w:jc w:val="center"/>
            </w:pPr>
            <w:r>
              <w:t>116</w:t>
            </w:r>
          </w:p>
        </w:tc>
        <w:tc>
          <w:tcPr>
            <w:tcW w:w="978" w:type="dxa"/>
            <w:hideMark/>
          </w:tcPr>
          <w:p w14:paraId="068FB305" w14:textId="77777777" w:rsidR="00F300C3" w:rsidRDefault="00F300C3" w:rsidP="0099623F">
            <w:pPr>
              <w:pStyle w:val="NormalWeb"/>
              <w:jc w:val="center"/>
            </w:pPr>
            <w:r>
              <w:t>3,813</w:t>
            </w:r>
          </w:p>
        </w:tc>
        <w:tc>
          <w:tcPr>
            <w:tcW w:w="1257" w:type="dxa"/>
            <w:hideMark/>
          </w:tcPr>
          <w:p w14:paraId="51D37EB6" w14:textId="77777777" w:rsidR="00F300C3" w:rsidRDefault="00F300C3" w:rsidP="0099623F">
            <w:pPr>
              <w:pStyle w:val="NormalWeb"/>
              <w:jc w:val="center"/>
            </w:pPr>
            <w:r>
              <w:t>3,652</w:t>
            </w:r>
          </w:p>
        </w:tc>
        <w:tc>
          <w:tcPr>
            <w:tcW w:w="1390" w:type="dxa"/>
            <w:hideMark/>
          </w:tcPr>
          <w:p w14:paraId="39B0F94A" w14:textId="77777777" w:rsidR="00F300C3" w:rsidRDefault="00F300C3" w:rsidP="0099623F">
            <w:pPr>
              <w:pStyle w:val="NormalWeb"/>
              <w:jc w:val="center"/>
            </w:pPr>
            <w:r>
              <w:t>7,498</w:t>
            </w:r>
          </w:p>
        </w:tc>
        <w:tc>
          <w:tcPr>
            <w:tcW w:w="1246" w:type="dxa"/>
            <w:hideMark/>
          </w:tcPr>
          <w:p w14:paraId="5558584F" w14:textId="77777777" w:rsidR="00F300C3" w:rsidRDefault="00F300C3" w:rsidP="0099623F">
            <w:pPr>
              <w:pStyle w:val="NormalWeb"/>
              <w:jc w:val="center"/>
            </w:pPr>
            <w:r>
              <w:t>240.4</w:t>
            </w:r>
          </w:p>
        </w:tc>
        <w:tc>
          <w:tcPr>
            <w:tcW w:w="1257" w:type="dxa"/>
            <w:hideMark/>
          </w:tcPr>
          <w:p w14:paraId="3940B307" w14:textId="77777777" w:rsidR="00F300C3" w:rsidRDefault="00F300C3" w:rsidP="0099623F">
            <w:pPr>
              <w:pStyle w:val="NormalWeb"/>
              <w:jc w:val="center"/>
            </w:pPr>
            <w:r>
              <w:t>243.3</w:t>
            </w:r>
          </w:p>
        </w:tc>
        <w:tc>
          <w:tcPr>
            <w:tcW w:w="1753" w:type="dxa"/>
            <w:hideMark/>
          </w:tcPr>
          <w:p w14:paraId="0220F5B4" w14:textId="77777777" w:rsidR="00F300C3" w:rsidRDefault="00F300C3" w:rsidP="0099623F">
            <w:pPr>
              <w:pStyle w:val="NormalWeb"/>
              <w:jc w:val="center"/>
            </w:pPr>
            <w:r>
              <w:t>242.9</w:t>
            </w:r>
          </w:p>
        </w:tc>
      </w:tr>
      <w:tr w:rsidR="001957FA" w14:paraId="3B583B29" w14:textId="77777777" w:rsidTr="00BC46BF">
        <w:tblPrEx>
          <w:tblCellMar>
            <w:top w:w="57" w:type="dxa"/>
            <w:left w:w="57" w:type="dxa"/>
            <w:bottom w:w="57" w:type="dxa"/>
            <w:right w:w="57" w:type="dxa"/>
          </w:tblCellMar>
        </w:tblPrEx>
        <w:tc>
          <w:tcPr>
            <w:tcW w:w="1418" w:type="dxa"/>
            <w:hideMark/>
          </w:tcPr>
          <w:p w14:paraId="279632B0" w14:textId="77777777" w:rsidR="00F300C3" w:rsidRDefault="00F300C3" w:rsidP="0099623F">
            <w:pPr>
              <w:pStyle w:val="NormalWeb"/>
            </w:pPr>
            <w:r>
              <w:t>20–29</w:t>
            </w:r>
          </w:p>
        </w:tc>
        <w:tc>
          <w:tcPr>
            <w:tcW w:w="699" w:type="dxa"/>
            <w:hideMark/>
          </w:tcPr>
          <w:p w14:paraId="48234C06" w14:textId="77777777" w:rsidR="00F300C3" w:rsidRDefault="00F300C3" w:rsidP="0099623F">
            <w:pPr>
              <w:pStyle w:val="NormalWeb"/>
              <w:jc w:val="center"/>
            </w:pPr>
            <w:r>
              <w:t>2,681</w:t>
            </w:r>
          </w:p>
        </w:tc>
        <w:tc>
          <w:tcPr>
            <w:tcW w:w="905" w:type="dxa"/>
            <w:hideMark/>
          </w:tcPr>
          <w:p w14:paraId="0D2863F7" w14:textId="77777777" w:rsidR="00F300C3" w:rsidRDefault="00F300C3" w:rsidP="0099623F">
            <w:pPr>
              <w:pStyle w:val="NormalWeb"/>
              <w:jc w:val="center"/>
            </w:pPr>
            <w:r>
              <w:t>2,256</w:t>
            </w:r>
          </w:p>
        </w:tc>
        <w:tc>
          <w:tcPr>
            <w:tcW w:w="990" w:type="dxa"/>
            <w:hideMark/>
          </w:tcPr>
          <w:p w14:paraId="618FAFC7" w14:textId="77777777" w:rsidR="00F300C3" w:rsidRDefault="00F300C3" w:rsidP="0099623F">
            <w:pPr>
              <w:pStyle w:val="NormalWeb"/>
              <w:jc w:val="center"/>
            </w:pPr>
            <w:r>
              <w:t>4,964</w:t>
            </w:r>
          </w:p>
        </w:tc>
        <w:tc>
          <w:tcPr>
            <w:tcW w:w="849" w:type="dxa"/>
            <w:hideMark/>
          </w:tcPr>
          <w:p w14:paraId="60575635" w14:textId="77777777" w:rsidR="00F300C3" w:rsidRDefault="00F300C3" w:rsidP="0099623F">
            <w:pPr>
              <w:pStyle w:val="NormalWeb"/>
              <w:jc w:val="center"/>
            </w:pPr>
            <w:r>
              <w:t>146</w:t>
            </w:r>
          </w:p>
        </w:tc>
        <w:tc>
          <w:tcPr>
            <w:tcW w:w="991" w:type="dxa"/>
            <w:hideMark/>
          </w:tcPr>
          <w:p w14:paraId="11932532" w14:textId="77777777" w:rsidR="00F300C3" w:rsidRDefault="00F300C3" w:rsidP="0099623F">
            <w:pPr>
              <w:pStyle w:val="NormalWeb"/>
              <w:jc w:val="center"/>
            </w:pPr>
            <w:r>
              <w:t>127</w:t>
            </w:r>
          </w:p>
        </w:tc>
        <w:tc>
          <w:tcPr>
            <w:tcW w:w="1251" w:type="dxa"/>
            <w:hideMark/>
          </w:tcPr>
          <w:p w14:paraId="55069EE4" w14:textId="77777777" w:rsidR="00F300C3" w:rsidRDefault="00F300C3" w:rsidP="0099623F">
            <w:pPr>
              <w:pStyle w:val="NormalWeb"/>
              <w:jc w:val="center"/>
            </w:pPr>
            <w:r>
              <w:t>137</w:t>
            </w:r>
          </w:p>
        </w:tc>
        <w:tc>
          <w:tcPr>
            <w:tcW w:w="978" w:type="dxa"/>
            <w:hideMark/>
          </w:tcPr>
          <w:p w14:paraId="7A0A85B7" w14:textId="77777777" w:rsidR="00F300C3" w:rsidRDefault="00F300C3" w:rsidP="0099623F">
            <w:pPr>
              <w:pStyle w:val="NormalWeb"/>
              <w:jc w:val="center"/>
            </w:pPr>
            <w:r>
              <w:t>5,645</w:t>
            </w:r>
          </w:p>
        </w:tc>
        <w:tc>
          <w:tcPr>
            <w:tcW w:w="1257" w:type="dxa"/>
            <w:hideMark/>
          </w:tcPr>
          <w:p w14:paraId="00B8A51C" w14:textId="77777777" w:rsidR="00F300C3" w:rsidRDefault="00F300C3" w:rsidP="0099623F">
            <w:pPr>
              <w:pStyle w:val="NormalWeb"/>
              <w:jc w:val="center"/>
            </w:pPr>
            <w:r>
              <w:t>4,688</w:t>
            </w:r>
          </w:p>
        </w:tc>
        <w:tc>
          <w:tcPr>
            <w:tcW w:w="1390" w:type="dxa"/>
            <w:hideMark/>
          </w:tcPr>
          <w:p w14:paraId="46A2DEBD" w14:textId="77777777" w:rsidR="00F300C3" w:rsidRDefault="00F300C3" w:rsidP="0099623F">
            <w:pPr>
              <w:pStyle w:val="NormalWeb"/>
              <w:jc w:val="center"/>
            </w:pPr>
            <w:r>
              <w:t>10,368</w:t>
            </w:r>
          </w:p>
        </w:tc>
        <w:tc>
          <w:tcPr>
            <w:tcW w:w="1246" w:type="dxa"/>
            <w:hideMark/>
          </w:tcPr>
          <w:p w14:paraId="7147E202" w14:textId="77777777" w:rsidR="00F300C3" w:rsidRDefault="00F300C3" w:rsidP="0099623F">
            <w:pPr>
              <w:pStyle w:val="NormalWeb"/>
              <w:jc w:val="center"/>
            </w:pPr>
            <w:r>
              <w:t>306.7</w:t>
            </w:r>
          </w:p>
        </w:tc>
        <w:tc>
          <w:tcPr>
            <w:tcW w:w="1257" w:type="dxa"/>
            <w:hideMark/>
          </w:tcPr>
          <w:p w14:paraId="6DB65ADD" w14:textId="77777777" w:rsidR="00F300C3" w:rsidRDefault="00F300C3" w:rsidP="0099623F">
            <w:pPr>
              <w:pStyle w:val="NormalWeb"/>
              <w:jc w:val="center"/>
            </w:pPr>
            <w:r>
              <w:t>263.7</w:t>
            </w:r>
          </w:p>
        </w:tc>
        <w:tc>
          <w:tcPr>
            <w:tcW w:w="1753" w:type="dxa"/>
            <w:hideMark/>
          </w:tcPr>
          <w:p w14:paraId="07C8BF1C" w14:textId="77777777" w:rsidR="00F300C3" w:rsidRDefault="00F300C3" w:rsidP="0099623F">
            <w:pPr>
              <w:pStyle w:val="NormalWeb"/>
              <w:jc w:val="center"/>
            </w:pPr>
            <w:r>
              <w:t>286.5</w:t>
            </w:r>
          </w:p>
        </w:tc>
      </w:tr>
      <w:tr w:rsidR="001957FA" w14:paraId="6C5656FC" w14:textId="77777777" w:rsidTr="00BC46B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42E27141" w14:textId="77777777" w:rsidR="00F300C3" w:rsidRDefault="00F300C3" w:rsidP="0099623F">
            <w:pPr>
              <w:pStyle w:val="NormalWeb"/>
            </w:pPr>
            <w:r>
              <w:t>30–39</w:t>
            </w:r>
          </w:p>
        </w:tc>
        <w:tc>
          <w:tcPr>
            <w:tcW w:w="699" w:type="dxa"/>
            <w:hideMark/>
          </w:tcPr>
          <w:p w14:paraId="041FB0E5" w14:textId="77777777" w:rsidR="00F300C3" w:rsidRDefault="00F300C3" w:rsidP="0099623F">
            <w:pPr>
              <w:pStyle w:val="NormalWeb"/>
              <w:jc w:val="center"/>
            </w:pPr>
            <w:r>
              <w:t>2,210</w:t>
            </w:r>
          </w:p>
        </w:tc>
        <w:tc>
          <w:tcPr>
            <w:tcW w:w="905" w:type="dxa"/>
            <w:hideMark/>
          </w:tcPr>
          <w:p w14:paraId="4ED1F258" w14:textId="77777777" w:rsidR="00F300C3" w:rsidRDefault="00F300C3" w:rsidP="0099623F">
            <w:pPr>
              <w:pStyle w:val="NormalWeb"/>
              <w:jc w:val="center"/>
            </w:pPr>
            <w:r>
              <w:t>1,801</w:t>
            </w:r>
          </w:p>
        </w:tc>
        <w:tc>
          <w:tcPr>
            <w:tcW w:w="990" w:type="dxa"/>
            <w:hideMark/>
          </w:tcPr>
          <w:p w14:paraId="674AF9CD" w14:textId="77777777" w:rsidR="00F300C3" w:rsidRDefault="00F300C3" w:rsidP="0099623F">
            <w:pPr>
              <w:pStyle w:val="NormalWeb"/>
              <w:jc w:val="center"/>
            </w:pPr>
            <w:r>
              <w:t>4,028</w:t>
            </w:r>
          </w:p>
        </w:tc>
        <w:tc>
          <w:tcPr>
            <w:tcW w:w="849" w:type="dxa"/>
            <w:hideMark/>
          </w:tcPr>
          <w:p w14:paraId="425E1386" w14:textId="77777777" w:rsidR="00F300C3" w:rsidRDefault="00F300C3" w:rsidP="0099623F">
            <w:pPr>
              <w:pStyle w:val="NormalWeb"/>
              <w:jc w:val="center"/>
            </w:pPr>
            <w:r>
              <w:t>119</w:t>
            </w:r>
          </w:p>
        </w:tc>
        <w:tc>
          <w:tcPr>
            <w:tcW w:w="991" w:type="dxa"/>
            <w:hideMark/>
          </w:tcPr>
          <w:p w14:paraId="2E1FE4A8" w14:textId="77777777" w:rsidR="00F300C3" w:rsidRDefault="00F300C3" w:rsidP="0099623F">
            <w:pPr>
              <w:pStyle w:val="NormalWeb"/>
              <w:jc w:val="center"/>
            </w:pPr>
            <w:r>
              <w:t>95</w:t>
            </w:r>
          </w:p>
        </w:tc>
        <w:tc>
          <w:tcPr>
            <w:tcW w:w="1251" w:type="dxa"/>
            <w:hideMark/>
          </w:tcPr>
          <w:p w14:paraId="1893C6DE" w14:textId="77777777" w:rsidR="00F300C3" w:rsidRDefault="00F300C3" w:rsidP="0099623F">
            <w:pPr>
              <w:pStyle w:val="NormalWeb"/>
              <w:jc w:val="center"/>
            </w:pPr>
            <w:r>
              <w:t>107</w:t>
            </w:r>
          </w:p>
        </w:tc>
        <w:tc>
          <w:tcPr>
            <w:tcW w:w="978" w:type="dxa"/>
            <w:hideMark/>
          </w:tcPr>
          <w:p w14:paraId="7840F136" w14:textId="77777777" w:rsidR="00F300C3" w:rsidRDefault="00F300C3" w:rsidP="0099623F">
            <w:pPr>
              <w:pStyle w:val="NormalWeb"/>
              <w:jc w:val="center"/>
            </w:pPr>
            <w:r>
              <w:t>4,533</w:t>
            </w:r>
          </w:p>
        </w:tc>
        <w:tc>
          <w:tcPr>
            <w:tcW w:w="1257" w:type="dxa"/>
            <w:hideMark/>
          </w:tcPr>
          <w:p w14:paraId="6E729827" w14:textId="77777777" w:rsidR="00F300C3" w:rsidRDefault="00F300C3" w:rsidP="0099623F">
            <w:pPr>
              <w:pStyle w:val="NormalWeb"/>
              <w:jc w:val="center"/>
            </w:pPr>
            <w:r>
              <w:t>3,754</w:t>
            </w:r>
          </w:p>
        </w:tc>
        <w:tc>
          <w:tcPr>
            <w:tcW w:w="1390" w:type="dxa"/>
            <w:hideMark/>
          </w:tcPr>
          <w:p w14:paraId="3D4413F8" w14:textId="77777777" w:rsidR="00F300C3" w:rsidRDefault="00F300C3" w:rsidP="0099623F">
            <w:pPr>
              <w:pStyle w:val="NormalWeb"/>
              <w:jc w:val="center"/>
            </w:pPr>
            <w:r>
              <w:t>8,315</w:t>
            </w:r>
          </w:p>
        </w:tc>
        <w:tc>
          <w:tcPr>
            <w:tcW w:w="1246" w:type="dxa"/>
            <w:hideMark/>
          </w:tcPr>
          <w:p w14:paraId="77BED80C" w14:textId="77777777" w:rsidR="00F300C3" w:rsidRDefault="00F300C3" w:rsidP="0099623F">
            <w:pPr>
              <w:pStyle w:val="NormalWeb"/>
              <w:jc w:val="center"/>
            </w:pPr>
            <w:r>
              <w:t>244.1</w:t>
            </w:r>
          </w:p>
        </w:tc>
        <w:tc>
          <w:tcPr>
            <w:tcW w:w="1257" w:type="dxa"/>
            <w:hideMark/>
          </w:tcPr>
          <w:p w14:paraId="6F734515" w14:textId="77777777" w:rsidR="00F300C3" w:rsidRDefault="00F300C3" w:rsidP="0099623F">
            <w:pPr>
              <w:pStyle w:val="NormalWeb"/>
              <w:jc w:val="center"/>
            </w:pPr>
            <w:r>
              <w:t>197.5</w:t>
            </w:r>
          </w:p>
        </w:tc>
        <w:tc>
          <w:tcPr>
            <w:tcW w:w="1753" w:type="dxa"/>
            <w:hideMark/>
          </w:tcPr>
          <w:p w14:paraId="342E393B" w14:textId="77777777" w:rsidR="00F300C3" w:rsidRDefault="00F300C3" w:rsidP="0099623F">
            <w:pPr>
              <w:pStyle w:val="NormalWeb"/>
              <w:jc w:val="center"/>
            </w:pPr>
            <w:r>
              <w:t>221.3</w:t>
            </w:r>
          </w:p>
        </w:tc>
      </w:tr>
      <w:tr w:rsidR="001957FA" w14:paraId="2CDD1F35" w14:textId="77777777" w:rsidTr="00BC46BF">
        <w:tblPrEx>
          <w:tblCellMar>
            <w:top w:w="57" w:type="dxa"/>
            <w:left w:w="57" w:type="dxa"/>
            <w:bottom w:w="57" w:type="dxa"/>
            <w:right w:w="57" w:type="dxa"/>
          </w:tblCellMar>
        </w:tblPrEx>
        <w:tc>
          <w:tcPr>
            <w:tcW w:w="1418" w:type="dxa"/>
            <w:hideMark/>
          </w:tcPr>
          <w:p w14:paraId="4753F77C" w14:textId="77777777" w:rsidR="00F300C3" w:rsidRDefault="00F300C3" w:rsidP="0099623F">
            <w:pPr>
              <w:pStyle w:val="NormalWeb"/>
            </w:pPr>
            <w:r>
              <w:t>40–49</w:t>
            </w:r>
          </w:p>
        </w:tc>
        <w:tc>
          <w:tcPr>
            <w:tcW w:w="699" w:type="dxa"/>
            <w:hideMark/>
          </w:tcPr>
          <w:p w14:paraId="7B4A2649" w14:textId="77777777" w:rsidR="00F300C3" w:rsidRDefault="00F300C3" w:rsidP="0099623F">
            <w:pPr>
              <w:pStyle w:val="NormalWeb"/>
              <w:jc w:val="center"/>
            </w:pPr>
            <w:r>
              <w:t>1,605</w:t>
            </w:r>
          </w:p>
        </w:tc>
        <w:tc>
          <w:tcPr>
            <w:tcW w:w="905" w:type="dxa"/>
            <w:hideMark/>
          </w:tcPr>
          <w:p w14:paraId="66ABC158" w14:textId="77777777" w:rsidR="00F300C3" w:rsidRDefault="00F300C3" w:rsidP="0099623F">
            <w:pPr>
              <w:pStyle w:val="NormalWeb"/>
              <w:jc w:val="center"/>
            </w:pPr>
            <w:r>
              <w:t>1,359</w:t>
            </w:r>
          </w:p>
        </w:tc>
        <w:tc>
          <w:tcPr>
            <w:tcW w:w="990" w:type="dxa"/>
            <w:hideMark/>
          </w:tcPr>
          <w:p w14:paraId="66252C80" w14:textId="77777777" w:rsidR="00F300C3" w:rsidRDefault="00F300C3" w:rsidP="0099623F">
            <w:pPr>
              <w:pStyle w:val="NormalWeb"/>
              <w:jc w:val="center"/>
            </w:pPr>
            <w:r>
              <w:t>2,986</w:t>
            </w:r>
          </w:p>
        </w:tc>
        <w:tc>
          <w:tcPr>
            <w:tcW w:w="849" w:type="dxa"/>
            <w:hideMark/>
          </w:tcPr>
          <w:p w14:paraId="3B291B0B" w14:textId="77777777" w:rsidR="00F300C3" w:rsidRDefault="00F300C3" w:rsidP="0099623F">
            <w:pPr>
              <w:pStyle w:val="NormalWeb"/>
              <w:jc w:val="center"/>
            </w:pPr>
            <w:r>
              <w:t>98</w:t>
            </w:r>
          </w:p>
        </w:tc>
        <w:tc>
          <w:tcPr>
            <w:tcW w:w="991" w:type="dxa"/>
            <w:hideMark/>
          </w:tcPr>
          <w:p w14:paraId="32FF4818" w14:textId="77777777" w:rsidR="00F300C3" w:rsidRDefault="00F300C3" w:rsidP="0099623F">
            <w:pPr>
              <w:pStyle w:val="NormalWeb"/>
              <w:jc w:val="center"/>
            </w:pPr>
            <w:r>
              <w:t>82</w:t>
            </w:r>
          </w:p>
        </w:tc>
        <w:tc>
          <w:tcPr>
            <w:tcW w:w="1251" w:type="dxa"/>
            <w:hideMark/>
          </w:tcPr>
          <w:p w14:paraId="067D850F" w14:textId="77777777" w:rsidR="00F300C3" w:rsidRDefault="00F300C3" w:rsidP="0099623F">
            <w:pPr>
              <w:pStyle w:val="NormalWeb"/>
              <w:jc w:val="center"/>
            </w:pPr>
            <w:r>
              <w:t>91</w:t>
            </w:r>
          </w:p>
        </w:tc>
        <w:tc>
          <w:tcPr>
            <w:tcW w:w="978" w:type="dxa"/>
            <w:hideMark/>
          </w:tcPr>
          <w:p w14:paraId="186636BE" w14:textId="77777777" w:rsidR="00F300C3" w:rsidRDefault="00F300C3" w:rsidP="0099623F">
            <w:pPr>
              <w:pStyle w:val="NormalWeb"/>
              <w:jc w:val="center"/>
            </w:pPr>
            <w:r>
              <w:t>3,135</w:t>
            </w:r>
          </w:p>
        </w:tc>
        <w:tc>
          <w:tcPr>
            <w:tcW w:w="1257" w:type="dxa"/>
            <w:hideMark/>
          </w:tcPr>
          <w:p w14:paraId="244EC388" w14:textId="77777777" w:rsidR="00F300C3" w:rsidRDefault="00F300C3" w:rsidP="0099623F">
            <w:pPr>
              <w:pStyle w:val="NormalWeb"/>
              <w:jc w:val="center"/>
            </w:pPr>
            <w:r>
              <w:t>2,705</w:t>
            </w:r>
          </w:p>
        </w:tc>
        <w:tc>
          <w:tcPr>
            <w:tcW w:w="1390" w:type="dxa"/>
            <w:hideMark/>
          </w:tcPr>
          <w:p w14:paraId="7CB00E32" w14:textId="77777777" w:rsidR="00F300C3" w:rsidRDefault="00F300C3" w:rsidP="0099623F">
            <w:pPr>
              <w:pStyle w:val="NormalWeb"/>
              <w:jc w:val="center"/>
            </w:pPr>
            <w:r>
              <w:t>5,868</w:t>
            </w:r>
          </w:p>
        </w:tc>
        <w:tc>
          <w:tcPr>
            <w:tcW w:w="1246" w:type="dxa"/>
            <w:hideMark/>
          </w:tcPr>
          <w:p w14:paraId="091D938C" w14:textId="77777777" w:rsidR="00F300C3" w:rsidRDefault="00F300C3" w:rsidP="0099623F">
            <w:pPr>
              <w:pStyle w:val="NormalWeb"/>
              <w:jc w:val="center"/>
            </w:pPr>
            <w:r>
              <w:t>192.2</w:t>
            </w:r>
          </w:p>
        </w:tc>
        <w:tc>
          <w:tcPr>
            <w:tcW w:w="1257" w:type="dxa"/>
            <w:hideMark/>
          </w:tcPr>
          <w:p w14:paraId="4EB20D3E" w14:textId="77777777" w:rsidR="00F300C3" w:rsidRDefault="00F300C3" w:rsidP="0099623F">
            <w:pPr>
              <w:pStyle w:val="NormalWeb"/>
              <w:jc w:val="center"/>
            </w:pPr>
            <w:r>
              <w:t>162.4</w:t>
            </w:r>
          </w:p>
        </w:tc>
        <w:tc>
          <w:tcPr>
            <w:tcW w:w="1753" w:type="dxa"/>
            <w:hideMark/>
          </w:tcPr>
          <w:p w14:paraId="1FB2E3E2" w14:textId="77777777" w:rsidR="00F300C3" w:rsidRDefault="00F300C3" w:rsidP="0099623F">
            <w:pPr>
              <w:pStyle w:val="NormalWeb"/>
              <w:jc w:val="center"/>
            </w:pPr>
            <w:r>
              <w:t>178.0</w:t>
            </w:r>
          </w:p>
        </w:tc>
      </w:tr>
      <w:tr w:rsidR="001957FA" w14:paraId="14F892A0" w14:textId="77777777" w:rsidTr="00BC46B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3A030062" w14:textId="77777777" w:rsidR="00F300C3" w:rsidRDefault="00F300C3" w:rsidP="0099623F">
            <w:pPr>
              <w:pStyle w:val="NormalWeb"/>
            </w:pPr>
            <w:r>
              <w:t>50–59</w:t>
            </w:r>
          </w:p>
        </w:tc>
        <w:tc>
          <w:tcPr>
            <w:tcW w:w="699" w:type="dxa"/>
            <w:hideMark/>
          </w:tcPr>
          <w:p w14:paraId="2032780F" w14:textId="77777777" w:rsidR="00F300C3" w:rsidRDefault="00F300C3" w:rsidP="0099623F">
            <w:pPr>
              <w:pStyle w:val="NormalWeb"/>
              <w:jc w:val="center"/>
            </w:pPr>
            <w:r>
              <w:t>1,091</w:t>
            </w:r>
          </w:p>
        </w:tc>
        <w:tc>
          <w:tcPr>
            <w:tcW w:w="905" w:type="dxa"/>
            <w:hideMark/>
          </w:tcPr>
          <w:p w14:paraId="4B34A3BA" w14:textId="77777777" w:rsidR="00F300C3" w:rsidRDefault="00F300C3" w:rsidP="0099623F">
            <w:pPr>
              <w:pStyle w:val="NormalWeb"/>
              <w:jc w:val="center"/>
            </w:pPr>
            <w:r>
              <w:t>883</w:t>
            </w:r>
          </w:p>
        </w:tc>
        <w:tc>
          <w:tcPr>
            <w:tcW w:w="990" w:type="dxa"/>
            <w:hideMark/>
          </w:tcPr>
          <w:p w14:paraId="3D79ECF7" w14:textId="77777777" w:rsidR="00F300C3" w:rsidRDefault="00F300C3" w:rsidP="0099623F">
            <w:pPr>
              <w:pStyle w:val="NormalWeb"/>
              <w:jc w:val="center"/>
            </w:pPr>
            <w:r>
              <w:t>1,995</w:t>
            </w:r>
          </w:p>
        </w:tc>
        <w:tc>
          <w:tcPr>
            <w:tcW w:w="849" w:type="dxa"/>
            <w:hideMark/>
          </w:tcPr>
          <w:p w14:paraId="098483C5" w14:textId="77777777" w:rsidR="00F300C3" w:rsidRDefault="00F300C3" w:rsidP="0099623F">
            <w:pPr>
              <w:pStyle w:val="NormalWeb"/>
              <w:jc w:val="center"/>
            </w:pPr>
            <w:r>
              <w:t>72</w:t>
            </w:r>
          </w:p>
        </w:tc>
        <w:tc>
          <w:tcPr>
            <w:tcW w:w="991" w:type="dxa"/>
            <w:hideMark/>
          </w:tcPr>
          <w:p w14:paraId="3BBFCD58" w14:textId="77777777" w:rsidR="00F300C3" w:rsidRDefault="00F300C3" w:rsidP="0099623F">
            <w:pPr>
              <w:pStyle w:val="NormalWeb"/>
              <w:jc w:val="center"/>
            </w:pPr>
            <w:r>
              <w:t>55</w:t>
            </w:r>
          </w:p>
        </w:tc>
        <w:tc>
          <w:tcPr>
            <w:tcW w:w="1251" w:type="dxa"/>
            <w:hideMark/>
          </w:tcPr>
          <w:p w14:paraId="48358C53" w14:textId="77777777" w:rsidR="00F300C3" w:rsidRDefault="00F300C3" w:rsidP="0099623F">
            <w:pPr>
              <w:pStyle w:val="NormalWeb"/>
              <w:jc w:val="center"/>
            </w:pPr>
            <w:r>
              <w:t>64</w:t>
            </w:r>
          </w:p>
        </w:tc>
        <w:tc>
          <w:tcPr>
            <w:tcW w:w="978" w:type="dxa"/>
            <w:hideMark/>
          </w:tcPr>
          <w:p w14:paraId="49552072" w14:textId="77777777" w:rsidR="00F300C3" w:rsidRDefault="00F300C3" w:rsidP="0099623F">
            <w:pPr>
              <w:pStyle w:val="NormalWeb"/>
              <w:jc w:val="center"/>
            </w:pPr>
            <w:r>
              <w:t>2,318</w:t>
            </w:r>
          </w:p>
        </w:tc>
        <w:tc>
          <w:tcPr>
            <w:tcW w:w="1257" w:type="dxa"/>
            <w:hideMark/>
          </w:tcPr>
          <w:p w14:paraId="61CA9C83" w14:textId="77777777" w:rsidR="00F300C3" w:rsidRDefault="00F300C3" w:rsidP="0099623F">
            <w:pPr>
              <w:pStyle w:val="NormalWeb"/>
              <w:jc w:val="center"/>
            </w:pPr>
            <w:r>
              <w:t>1,921</w:t>
            </w:r>
          </w:p>
        </w:tc>
        <w:tc>
          <w:tcPr>
            <w:tcW w:w="1390" w:type="dxa"/>
            <w:hideMark/>
          </w:tcPr>
          <w:p w14:paraId="34E34B65" w14:textId="77777777" w:rsidR="00F300C3" w:rsidRDefault="00F300C3" w:rsidP="0099623F">
            <w:pPr>
              <w:pStyle w:val="NormalWeb"/>
              <w:jc w:val="center"/>
            </w:pPr>
            <w:r>
              <w:t>4,267</w:t>
            </w:r>
          </w:p>
        </w:tc>
        <w:tc>
          <w:tcPr>
            <w:tcW w:w="1246" w:type="dxa"/>
            <w:hideMark/>
          </w:tcPr>
          <w:p w14:paraId="0ED03A8F" w14:textId="77777777" w:rsidR="00F300C3" w:rsidRDefault="00F300C3" w:rsidP="0099623F">
            <w:pPr>
              <w:pStyle w:val="NormalWeb"/>
              <w:jc w:val="center"/>
            </w:pPr>
            <w:r>
              <w:t>152.2</w:t>
            </w:r>
          </w:p>
        </w:tc>
        <w:tc>
          <w:tcPr>
            <w:tcW w:w="1257" w:type="dxa"/>
            <w:hideMark/>
          </w:tcPr>
          <w:p w14:paraId="656343C2" w14:textId="77777777" w:rsidR="00F300C3" w:rsidRDefault="00F300C3" w:rsidP="0099623F">
            <w:pPr>
              <w:pStyle w:val="NormalWeb"/>
              <w:jc w:val="center"/>
            </w:pPr>
            <w:r>
              <w:t>120.2</w:t>
            </w:r>
          </w:p>
        </w:tc>
        <w:tc>
          <w:tcPr>
            <w:tcW w:w="1753" w:type="dxa"/>
            <w:hideMark/>
          </w:tcPr>
          <w:p w14:paraId="2C2B5214" w14:textId="77777777" w:rsidR="00F300C3" w:rsidRDefault="00F300C3" w:rsidP="0099623F">
            <w:pPr>
              <w:pStyle w:val="NormalWeb"/>
              <w:jc w:val="center"/>
            </w:pPr>
            <w:r>
              <w:t>136.7</w:t>
            </w:r>
          </w:p>
        </w:tc>
      </w:tr>
      <w:tr w:rsidR="001957FA" w14:paraId="7C97F35E" w14:textId="77777777" w:rsidTr="00BC46BF">
        <w:tblPrEx>
          <w:tblCellMar>
            <w:top w:w="57" w:type="dxa"/>
            <w:left w:w="57" w:type="dxa"/>
            <w:bottom w:w="57" w:type="dxa"/>
            <w:right w:w="57" w:type="dxa"/>
          </w:tblCellMar>
        </w:tblPrEx>
        <w:tc>
          <w:tcPr>
            <w:tcW w:w="1418" w:type="dxa"/>
            <w:hideMark/>
          </w:tcPr>
          <w:p w14:paraId="1F1DB0EF" w14:textId="77777777" w:rsidR="00F300C3" w:rsidRDefault="00F300C3" w:rsidP="0099623F">
            <w:pPr>
              <w:pStyle w:val="NormalWeb"/>
            </w:pPr>
            <w:r>
              <w:t>60–69</w:t>
            </w:r>
          </w:p>
        </w:tc>
        <w:tc>
          <w:tcPr>
            <w:tcW w:w="699" w:type="dxa"/>
            <w:hideMark/>
          </w:tcPr>
          <w:p w14:paraId="51198C20" w14:textId="77777777" w:rsidR="00F300C3" w:rsidRDefault="00F300C3" w:rsidP="0099623F">
            <w:pPr>
              <w:pStyle w:val="NormalWeb"/>
              <w:jc w:val="center"/>
            </w:pPr>
            <w:r>
              <w:t>637</w:t>
            </w:r>
          </w:p>
        </w:tc>
        <w:tc>
          <w:tcPr>
            <w:tcW w:w="905" w:type="dxa"/>
            <w:hideMark/>
          </w:tcPr>
          <w:p w14:paraId="5C219684" w14:textId="77777777" w:rsidR="00F300C3" w:rsidRDefault="00F300C3" w:rsidP="0099623F">
            <w:pPr>
              <w:pStyle w:val="NormalWeb"/>
              <w:jc w:val="center"/>
            </w:pPr>
            <w:r>
              <w:t>542</w:t>
            </w:r>
          </w:p>
        </w:tc>
        <w:tc>
          <w:tcPr>
            <w:tcW w:w="990" w:type="dxa"/>
            <w:hideMark/>
          </w:tcPr>
          <w:p w14:paraId="0F983F91" w14:textId="77777777" w:rsidR="00F300C3" w:rsidRDefault="00F300C3" w:rsidP="0099623F">
            <w:pPr>
              <w:pStyle w:val="NormalWeb"/>
              <w:jc w:val="center"/>
            </w:pPr>
            <w:r>
              <w:t>1,191</w:t>
            </w:r>
          </w:p>
        </w:tc>
        <w:tc>
          <w:tcPr>
            <w:tcW w:w="849" w:type="dxa"/>
            <w:hideMark/>
          </w:tcPr>
          <w:p w14:paraId="5ECB4995" w14:textId="77777777" w:rsidR="00F300C3" w:rsidRDefault="00F300C3" w:rsidP="0099623F">
            <w:pPr>
              <w:pStyle w:val="NormalWeb"/>
              <w:jc w:val="center"/>
            </w:pPr>
            <w:r>
              <w:t>49</w:t>
            </w:r>
          </w:p>
        </w:tc>
        <w:tc>
          <w:tcPr>
            <w:tcW w:w="991" w:type="dxa"/>
            <w:hideMark/>
          </w:tcPr>
          <w:p w14:paraId="37D2C3E7" w14:textId="77777777" w:rsidR="00F300C3" w:rsidRDefault="00F300C3" w:rsidP="0099623F">
            <w:pPr>
              <w:pStyle w:val="NormalWeb"/>
              <w:jc w:val="center"/>
            </w:pPr>
            <w:r>
              <w:t>39</w:t>
            </w:r>
          </w:p>
        </w:tc>
        <w:tc>
          <w:tcPr>
            <w:tcW w:w="1251" w:type="dxa"/>
            <w:hideMark/>
          </w:tcPr>
          <w:p w14:paraId="2BB2488A" w14:textId="77777777" w:rsidR="00F300C3" w:rsidRDefault="00F300C3" w:rsidP="0099623F">
            <w:pPr>
              <w:pStyle w:val="NormalWeb"/>
              <w:jc w:val="center"/>
            </w:pPr>
            <w:r>
              <w:t>44</w:t>
            </w:r>
          </w:p>
        </w:tc>
        <w:tc>
          <w:tcPr>
            <w:tcW w:w="978" w:type="dxa"/>
            <w:hideMark/>
          </w:tcPr>
          <w:p w14:paraId="7195A4E1" w14:textId="77777777" w:rsidR="00F300C3" w:rsidRDefault="00F300C3" w:rsidP="0099623F">
            <w:pPr>
              <w:pStyle w:val="NormalWeb"/>
              <w:jc w:val="center"/>
            </w:pPr>
            <w:r>
              <w:t>1,277</w:t>
            </w:r>
          </w:p>
        </w:tc>
        <w:tc>
          <w:tcPr>
            <w:tcW w:w="1257" w:type="dxa"/>
            <w:hideMark/>
          </w:tcPr>
          <w:p w14:paraId="14E34846" w14:textId="77777777" w:rsidR="00F300C3" w:rsidRDefault="00F300C3" w:rsidP="0099623F">
            <w:pPr>
              <w:pStyle w:val="NormalWeb"/>
              <w:jc w:val="center"/>
            </w:pPr>
            <w:r>
              <w:t>1,035</w:t>
            </w:r>
          </w:p>
        </w:tc>
        <w:tc>
          <w:tcPr>
            <w:tcW w:w="1390" w:type="dxa"/>
            <w:hideMark/>
          </w:tcPr>
          <w:p w14:paraId="6E5854B5" w14:textId="77777777" w:rsidR="00F300C3" w:rsidRDefault="00F300C3" w:rsidP="0099623F">
            <w:pPr>
              <w:pStyle w:val="NormalWeb"/>
              <w:jc w:val="center"/>
            </w:pPr>
            <w:r>
              <w:t>2,328</w:t>
            </w:r>
          </w:p>
        </w:tc>
        <w:tc>
          <w:tcPr>
            <w:tcW w:w="1246" w:type="dxa"/>
            <w:hideMark/>
          </w:tcPr>
          <w:p w14:paraId="4DB69532" w14:textId="77777777" w:rsidR="00F300C3" w:rsidRDefault="00F300C3" w:rsidP="0099623F">
            <w:pPr>
              <w:pStyle w:val="NormalWeb"/>
              <w:jc w:val="center"/>
            </w:pPr>
            <w:r>
              <w:t>97.7</w:t>
            </w:r>
          </w:p>
        </w:tc>
        <w:tc>
          <w:tcPr>
            <w:tcW w:w="1257" w:type="dxa"/>
            <w:hideMark/>
          </w:tcPr>
          <w:p w14:paraId="7086794D" w14:textId="77777777" w:rsidR="00F300C3" w:rsidRDefault="00F300C3" w:rsidP="0099623F">
            <w:pPr>
              <w:pStyle w:val="NormalWeb"/>
              <w:jc w:val="center"/>
            </w:pPr>
            <w:r>
              <w:t>74.5</w:t>
            </w:r>
          </w:p>
        </w:tc>
        <w:tc>
          <w:tcPr>
            <w:tcW w:w="1753" w:type="dxa"/>
            <w:hideMark/>
          </w:tcPr>
          <w:p w14:paraId="71E86C84" w14:textId="77777777" w:rsidR="00F300C3" w:rsidRDefault="00F300C3" w:rsidP="0099623F">
            <w:pPr>
              <w:pStyle w:val="NormalWeb"/>
              <w:jc w:val="center"/>
            </w:pPr>
            <w:r>
              <w:t>86.3</w:t>
            </w:r>
          </w:p>
        </w:tc>
      </w:tr>
      <w:tr w:rsidR="001957FA" w14:paraId="4DCBCBB4" w14:textId="77777777" w:rsidTr="00BC46B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6C60613F" w14:textId="77777777" w:rsidR="00F300C3" w:rsidRDefault="00F300C3" w:rsidP="0099623F">
            <w:pPr>
              <w:pStyle w:val="NormalWeb"/>
            </w:pPr>
            <w:r>
              <w:t>70–79</w:t>
            </w:r>
          </w:p>
        </w:tc>
        <w:tc>
          <w:tcPr>
            <w:tcW w:w="699" w:type="dxa"/>
            <w:hideMark/>
          </w:tcPr>
          <w:p w14:paraId="487F90B8" w14:textId="77777777" w:rsidR="00F300C3" w:rsidRDefault="00F300C3" w:rsidP="0099623F">
            <w:pPr>
              <w:pStyle w:val="NormalWeb"/>
              <w:jc w:val="center"/>
            </w:pPr>
            <w:r>
              <w:t>263</w:t>
            </w:r>
          </w:p>
        </w:tc>
        <w:tc>
          <w:tcPr>
            <w:tcW w:w="905" w:type="dxa"/>
            <w:hideMark/>
          </w:tcPr>
          <w:p w14:paraId="60DFACCC" w14:textId="77777777" w:rsidR="00F300C3" w:rsidRDefault="00F300C3" w:rsidP="0099623F">
            <w:pPr>
              <w:pStyle w:val="NormalWeb"/>
              <w:jc w:val="center"/>
            </w:pPr>
            <w:r>
              <w:t>270</w:t>
            </w:r>
          </w:p>
        </w:tc>
        <w:tc>
          <w:tcPr>
            <w:tcW w:w="990" w:type="dxa"/>
            <w:hideMark/>
          </w:tcPr>
          <w:p w14:paraId="7FF4F2A9" w14:textId="77777777" w:rsidR="00F300C3" w:rsidRDefault="00F300C3" w:rsidP="0099623F">
            <w:pPr>
              <w:pStyle w:val="NormalWeb"/>
              <w:jc w:val="center"/>
            </w:pPr>
            <w:r>
              <w:t>538</w:t>
            </w:r>
          </w:p>
        </w:tc>
        <w:tc>
          <w:tcPr>
            <w:tcW w:w="849" w:type="dxa"/>
            <w:hideMark/>
          </w:tcPr>
          <w:p w14:paraId="730E3474" w14:textId="77777777" w:rsidR="00F300C3" w:rsidRDefault="00F300C3" w:rsidP="0099623F">
            <w:pPr>
              <w:pStyle w:val="NormalWeb"/>
              <w:jc w:val="center"/>
            </w:pPr>
            <w:r>
              <w:t>29</w:t>
            </w:r>
          </w:p>
        </w:tc>
        <w:tc>
          <w:tcPr>
            <w:tcW w:w="991" w:type="dxa"/>
            <w:hideMark/>
          </w:tcPr>
          <w:p w14:paraId="02FF381C" w14:textId="77777777" w:rsidR="00F300C3" w:rsidRDefault="00F300C3" w:rsidP="0099623F">
            <w:pPr>
              <w:pStyle w:val="NormalWeb"/>
              <w:jc w:val="center"/>
            </w:pPr>
            <w:r>
              <w:t>28</w:t>
            </w:r>
          </w:p>
        </w:tc>
        <w:tc>
          <w:tcPr>
            <w:tcW w:w="1251" w:type="dxa"/>
            <w:hideMark/>
          </w:tcPr>
          <w:p w14:paraId="1418484A" w14:textId="77777777" w:rsidR="00F300C3" w:rsidRDefault="00F300C3" w:rsidP="0099623F">
            <w:pPr>
              <w:pStyle w:val="NormalWeb"/>
              <w:jc w:val="center"/>
            </w:pPr>
            <w:r>
              <w:t>29</w:t>
            </w:r>
          </w:p>
        </w:tc>
        <w:tc>
          <w:tcPr>
            <w:tcW w:w="978" w:type="dxa"/>
            <w:hideMark/>
          </w:tcPr>
          <w:p w14:paraId="029A089E" w14:textId="77777777" w:rsidR="00F300C3" w:rsidRDefault="00F300C3" w:rsidP="0099623F">
            <w:pPr>
              <w:pStyle w:val="NormalWeb"/>
              <w:jc w:val="center"/>
            </w:pPr>
            <w:r>
              <w:t>547</w:t>
            </w:r>
          </w:p>
        </w:tc>
        <w:tc>
          <w:tcPr>
            <w:tcW w:w="1257" w:type="dxa"/>
            <w:hideMark/>
          </w:tcPr>
          <w:p w14:paraId="6A4955AF" w14:textId="77777777" w:rsidR="00F300C3" w:rsidRDefault="00F300C3" w:rsidP="0099623F">
            <w:pPr>
              <w:pStyle w:val="NormalWeb"/>
              <w:jc w:val="center"/>
            </w:pPr>
            <w:r>
              <w:t>476</w:t>
            </w:r>
          </w:p>
        </w:tc>
        <w:tc>
          <w:tcPr>
            <w:tcW w:w="1390" w:type="dxa"/>
            <w:hideMark/>
          </w:tcPr>
          <w:p w14:paraId="1A6914F0" w14:textId="77777777" w:rsidR="00F300C3" w:rsidRDefault="00F300C3" w:rsidP="0099623F">
            <w:pPr>
              <w:pStyle w:val="NormalWeb"/>
              <w:jc w:val="center"/>
            </w:pPr>
            <w:r>
              <w:t>1,030</w:t>
            </w:r>
          </w:p>
        </w:tc>
        <w:tc>
          <w:tcPr>
            <w:tcW w:w="1246" w:type="dxa"/>
            <w:hideMark/>
          </w:tcPr>
          <w:p w14:paraId="4C54F70E" w14:textId="77777777" w:rsidR="00F300C3" w:rsidRDefault="00F300C3" w:rsidP="0099623F">
            <w:pPr>
              <w:pStyle w:val="NormalWeb"/>
              <w:jc w:val="center"/>
            </w:pPr>
            <w:r>
              <w:t>60.0</w:t>
            </w:r>
          </w:p>
        </w:tc>
        <w:tc>
          <w:tcPr>
            <w:tcW w:w="1257" w:type="dxa"/>
            <w:hideMark/>
          </w:tcPr>
          <w:p w14:paraId="7296B2F1" w14:textId="77777777" w:rsidR="00F300C3" w:rsidRDefault="00F300C3" w:rsidP="0099623F">
            <w:pPr>
              <w:pStyle w:val="NormalWeb"/>
              <w:jc w:val="center"/>
            </w:pPr>
            <w:r>
              <w:t>49.2</w:t>
            </w:r>
          </w:p>
        </w:tc>
        <w:tc>
          <w:tcPr>
            <w:tcW w:w="1753" w:type="dxa"/>
            <w:hideMark/>
          </w:tcPr>
          <w:p w14:paraId="1A5BC61B" w14:textId="77777777" w:rsidR="00F300C3" w:rsidRDefault="00F300C3" w:rsidP="0099623F">
            <w:pPr>
              <w:pStyle w:val="NormalWeb"/>
              <w:jc w:val="center"/>
            </w:pPr>
            <w:r>
              <w:t>54.8</w:t>
            </w:r>
          </w:p>
        </w:tc>
      </w:tr>
      <w:tr w:rsidR="001957FA" w14:paraId="499237BE" w14:textId="77777777" w:rsidTr="00BC46BF">
        <w:tblPrEx>
          <w:tblCellMar>
            <w:top w:w="57" w:type="dxa"/>
            <w:left w:w="57" w:type="dxa"/>
            <w:bottom w:w="57" w:type="dxa"/>
            <w:right w:w="57" w:type="dxa"/>
          </w:tblCellMar>
        </w:tblPrEx>
        <w:tc>
          <w:tcPr>
            <w:tcW w:w="1418" w:type="dxa"/>
            <w:hideMark/>
          </w:tcPr>
          <w:p w14:paraId="1E52A6B0" w14:textId="77777777" w:rsidR="00F300C3" w:rsidRDefault="00F300C3" w:rsidP="0099623F">
            <w:pPr>
              <w:pStyle w:val="NormalWeb"/>
            </w:pPr>
            <w:r>
              <w:t>80–89</w:t>
            </w:r>
          </w:p>
        </w:tc>
        <w:tc>
          <w:tcPr>
            <w:tcW w:w="699" w:type="dxa"/>
            <w:hideMark/>
          </w:tcPr>
          <w:p w14:paraId="63D16FCC" w14:textId="77777777" w:rsidR="00F300C3" w:rsidRDefault="00F300C3" w:rsidP="0099623F">
            <w:pPr>
              <w:pStyle w:val="NormalWeb"/>
              <w:jc w:val="center"/>
            </w:pPr>
            <w:r>
              <w:t>117</w:t>
            </w:r>
          </w:p>
        </w:tc>
        <w:tc>
          <w:tcPr>
            <w:tcW w:w="905" w:type="dxa"/>
            <w:hideMark/>
          </w:tcPr>
          <w:p w14:paraId="74BAD859" w14:textId="77777777" w:rsidR="00F300C3" w:rsidRDefault="00F300C3" w:rsidP="0099623F">
            <w:pPr>
              <w:pStyle w:val="NormalWeb"/>
              <w:jc w:val="center"/>
            </w:pPr>
            <w:r>
              <w:t>129</w:t>
            </w:r>
          </w:p>
        </w:tc>
        <w:tc>
          <w:tcPr>
            <w:tcW w:w="990" w:type="dxa"/>
            <w:hideMark/>
          </w:tcPr>
          <w:p w14:paraId="3F0AB61C" w14:textId="77777777" w:rsidR="00F300C3" w:rsidRDefault="00F300C3" w:rsidP="0099623F">
            <w:pPr>
              <w:pStyle w:val="NormalWeb"/>
              <w:jc w:val="center"/>
            </w:pPr>
            <w:r>
              <w:t>249</w:t>
            </w:r>
          </w:p>
        </w:tc>
        <w:tc>
          <w:tcPr>
            <w:tcW w:w="849" w:type="dxa"/>
            <w:hideMark/>
          </w:tcPr>
          <w:p w14:paraId="18F919AE" w14:textId="77777777" w:rsidR="00F300C3" w:rsidRDefault="00F300C3" w:rsidP="0099623F">
            <w:pPr>
              <w:pStyle w:val="NormalWeb"/>
              <w:jc w:val="center"/>
            </w:pPr>
            <w:r>
              <w:t>32</w:t>
            </w:r>
          </w:p>
        </w:tc>
        <w:tc>
          <w:tcPr>
            <w:tcW w:w="991" w:type="dxa"/>
            <w:hideMark/>
          </w:tcPr>
          <w:p w14:paraId="275AE2F5" w14:textId="77777777" w:rsidR="00F300C3" w:rsidRDefault="00F300C3" w:rsidP="0099623F">
            <w:pPr>
              <w:pStyle w:val="NormalWeb"/>
              <w:jc w:val="center"/>
            </w:pPr>
            <w:r>
              <w:t>27</w:t>
            </w:r>
          </w:p>
        </w:tc>
        <w:tc>
          <w:tcPr>
            <w:tcW w:w="1251" w:type="dxa"/>
            <w:hideMark/>
          </w:tcPr>
          <w:p w14:paraId="64C19410" w14:textId="77777777" w:rsidR="00F300C3" w:rsidRDefault="00F300C3" w:rsidP="0099623F">
            <w:pPr>
              <w:pStyle w:val="NormalWeb"/>
              <w:jc w:val="center"/>
            </w:pPr>
            <w:r>
              <w:t>30</w:t>
            </w:r>
          </w:p>
        </w:tc>
        <w:tc>
          <w:tcPr>
            <w:tcW w:w="978" w:type="dxa"/>
            <w:hideMark/>
          </w:tcPr>
          <w:p w14:paraId="715A1974" w14:textId="77777777" w:rsidR="00F300C3" w:rsidRDefault="00F300C3" w:rsidP="0099623F">
            <w:pPr>
              <w:pStyle w:val="NormalWeb"/>
              <w:jc w:val="center"/>
            </w:pPr>
            <w:r>
              <w:t>231</w:t>
            </w:r>
          </w:p>
        </w:tc>
        <w:tc>
          <w:tcPr>
            <w:tcW w:w="1257" w:type="dxa"/>
            <w:hideMark/>
          </w:tcPr>
          <w:p w14:paraId="288F69B5" w14:textId="77777777" w:rsidR="00F300C3" w:rsidRDefault="00F300C3" w:rsidP="0099623F">
            <w:pPr>
              <w:pStyle w:val="NormalWeb"/>
              <w:jc w:val="center"/>
            </w:pPr>
            <w:r>
              <w:t>266</w:t>
            </w:r>
          </w:p>
        </w:tc>
        <w:tc>
          <w:tcPr>
            <w:tcW w:w="1390" w:type="dxa"/>
            <w:hideMark/>
          </w:tcPr>
          <w:p w14:paraId="20D71441" w14:textId="77777777" w:rsidR="00F300C3" w:rsidRDefault="00F300C3" w:rsidP="0099623F">
            <w:pPr>
              <w:pStyle w:val="NormalWeb"/>
              <w:jc w:val="center"/>
            </w:pPr>
            <w:r>
              <w:t>500</w:t>
            </w:r>
          </w:p>
        </w:tc>
        <w:tc>
          <w:tcPr>
            <w:tcW w:w="1246" w:type="dxa"/>
            <w:hideMark/>
          </w:tcPr>
          <w:p w14:paraId="7630D0BC" w14:textId="77777777" w:rsidR="00F300C3" w:rsidRDefault="00F300C3" w:rsidP="0099623F">
            <w:pPr>
              <w:pStyle w:val="NormalWeb"/>
              <w:jc w:val="center"/>
            </w:pPr>
            <w:r>
              <w:t>62.3</w:t>
            </w:r>
          </w:p>
        </w:tc>
        <w:tc>
          <w:tcPr>
            <w:tcW w:w="1257" w:type="dxa"/>
            <w:hideMark/>
          </w:tcPr>
          <w:p w14:paraId="49C4B54E" w14:textId="77777777" w:rsidR="00F300C3" w:rsidRDefault="00F300C3" w:rsidP="0099623F">
            <w:pPr>
              <w:pStyle w:val="NormalWeb"/>
              <w:jc w:val="center"/>
            </w:pPr>
            <w:r>
              <w:t>56.1</w:t>
            </w:r>
          </w:p>
        </w:tc>
        <w:tc>
          <w:tcPr>
            <w:tcW w:w="1753" w:type="dxa"/>
            <w:hideMark/>
          </w:tcPr>
          <w:p w14:paraId="1A6C58AA" w14:textId="77777777" w:rsidR="00F300C3" w:rsidRDefault="00F300C3" w:rsidP="0099623F">
            <w:pPr>
              <w:pStyle w:val="NormalWeb"/>
              <w:jc w:val="center"/>
            </w:pPr>
            <w:r>
              <w:t>59.2</w:t>
            </w:r>
          </w:p>
        </w:tc>
      </w:tr>
      <w:tr w:rsidR="001957FA" w14:paraId="72402BB0" w14:textId="77777777" w:rsidTr="00BC46BF">
        <w:tblPrEx>
          <w:tblCellMar>
            <w:top w:w="57" w:type="dxa"/>
            <w:left w:w="57" w:type="dxa"/>
            <w:bottom w:w="57" w:type="dxa"/>
            <w:right w:w="57" w:type="dxa"/>
          </w:tblCellMar>
        </w:tblPrEx>
        <w:trPr>
          <w:cnfStyle w:val="000000010000" w:firstRow="0" w:lastRow="0" w:firstColumn="0" w:lastColumn="0" w:oddVBand="0" w:evenVBand="0" w:oddHBand="0" w:evenHBand="1" w:firstRowFirstColumn="0" w:firstRowLastColumn="0" w:lastRowFirstColumn="0" w:lastRowLastColumn="0"/>
        </w:trPr>
        <w:tc>
          <w:tcPr>
            <w:tcW w:w="1418" w:type="dxa"/>
            <w:hideMark/>
          </w:tcPr>
          <w:p w14:paraId="09714087" w14:textId="77777777" w:rsidR="00F300C3" w:rsidRDefault="00F300C3" w:rsidP="0099623F">
            <w:pPr>
              <w:pStyle w:val="NormalWeb"/>
            </w:pPr>
            <w:r>
              <w:t>90 and over</w:t>
            </w:r>
          </w:p>
        </w:tc>
        <w:tc>
          <w:tcPr>
            <w:tcW w:w="699" w:type="dxa"/>
            <w:hideMark/>
          </w:tcPr>
          <w:p w14:paraId="58C53FFA" w14:textId="77777777" w:rsidR="00F300C3" w:rsidRDefault="00F300C3" w:rsidP="0099623F">
            <w:pPr>
              <w:pStyle w:val="NormalWeb"/>
              <w:jc w:val="center"/>
            </w:pPr>
            <w:r>
              <w:t>25</w:t>
            </w:r>
          </w:p>
        </w:tc>
        <w:tc>
          <w:tcPr>
            <w:tcW w:w="905" w:type="dxa"/>
            <w:hideMark/>
          </w:tcPr>
          <w:p w14:paraId="223437DC" w14:textId="77777777" w:rsidR="00F300C3" w:rsidRDefault="00F300C3" w:rsidP="0099623F">
            <w:pPr>
              <w:pStyle w:val="NormalWeb"/>
              <w:jc w:val="center"/>
            </w:pPr>
            <w:r>
              <w:t>44</w:t>
            </w:r>
          </w:p>
        </w:tc>
        <w:tc>
          <w:tcPr>
            <w:tcW w:w="990" w:type="dxa"/>
            <w:hideMark/>
          </w:tcPr>
          <w:p w14:paraId="484FA4D3" w14:textId="77777777" w:rsidR="00F300C3" w:rsidRDefault="00F300C3" w:rsidP="0099623F">
            <w:pPr>
              <w:pStyle w:val="NormalWeb"/>
              <w:jc w:val="center"/>
            </w:pPr>
            <w:r>
              <w:t>69</w:t>
            </w:r>
          </w:p>
        </w:tc>
        <w:tc>
          <w:tcPr>
            <w:tcW w:w="849" w:type="dxa"/>
            <w:hideMark/>
          </w:tcPr>
          <w:p w14:paraId="32730B72" w14:textId="77777777" w:rsidR="00F300C3" w:rsidRDefault="00F300C3" w:rsidP="0099623F">
            <w:pPr>
              <w:pStyle w:val="NormalWeb"/>
              <w:jc w:val="center"/>
            </w:pPr>
            <w:r>
              <w:t>34</w:t>
            </w:r>
          </w:p>
        </w:tc>
        <w:tc>
          <w:tcPr>
            <w:tcW w:w="991" w:type="dxa"/>
            <w:hideMark/>
          </w:tcPr>
          <w:p w14:paraId="028AD143" w14:textId="77777777" w:rsidR="00F300C3" w:rsidRDefault="00F300C3" w:rsidP="0099623F">
            <w:pPr>
              <w:pStyle w:val="NormalWeb"/>
              <w:jc w:val="center"/>
            </w:pPr>
            <w:r>
              <w:t>32</w:t>
            </w:r>
          </w:p>
        </w:tc>
        <w:tc>
          <w:tcPr>
            <w:tcW w:w="1251" w:type="dxa"/>
            <w:hideMark/>
          </w:tcPr>
          <w:p w14:paraId="228A9756" w14:textId="77777777" w:rsidR="00F300C3" w:rsidRDefault="00F300C3" w:rsidP="0099623F">
            <w:pPr>
              <w:pStyle w:val="NormalWeb"/>
              <w:jc w:val="center"/>
            </w:pPr>
            <w:r>
              <w:t>33</w:t>
            </w:r>
          </w:p>
        </w:tc>
        <w:tc>
          <w:tcPr>
            <w:tcW w:w="978" w:type="dxa"/>
            <w:hideMark/>
          </w:tcPr>
          <w:p w14:paraId="39DC873A" w14:textId="77777777" w:rsidR="00F300C3" w:rsidRDefault="00F300C3" w:rsidP="0099623F">
            <w:pPr>
              <w:pStyle w:val="NormalWeb"/>
              <w:jc w:val="center"/>
            </w:pPr>
            <w:r>
              <w:t>52</w:t>
            </w:r>
          </w:p>
        </w:tc>
        <w:tc>
          <w:tcPr>
            <w:tcW w:w="1257" w:type="dxa"/>
            <w:hideMark/>
          </w:tcPr>
          <w:p w14:paraId="5C3C8367" w14:textId="77777777" w:rsidR="00F300C3" w:rsidRDefault="00F300C3" w:rsidP="0099623F">
            <w:pPr>
              <w:pStyle w:val="NormalWeb"/>
              <w:jc w:val="center"/>
            </w:pPr>
            <w:r>
              <w:t>94</w:t>
            </w:r>
          </w:p>
        </w:tc>
        <w:tc>
          <w:tcPr>
            <w:tcW w:w="1390" w:type="dxa"/>
            <w:hideMark/>
          </w:tcPr>
          <w:p w14:paraId="1889DD43" w14:textId="77777777" w:rsidR="00F300C3" w:rsidRDefault="00F300C3" w:rsidP="0099623F">
            <w:pPr>
              <w:pStyle w:val="NormalWeb"/>
              <w:jc w:val="center"/>
            </w:pPr>
            <w:r>
              <w:t>146</w:t>
            </w:r>
          </w:p>
        </w:tc>
        <w:tc>
          <w:tcPr>
            <w:tcW w:w="1246" w:type="dxa"/>
            <w:hideMark/>
          </w:tcPr>
          <w:p w14:paraId="7BFA1AD1" w14:textId="77777777" w:rsidR="00F300C3" w:rsidRDefault="00F300C3" w:rsidP="0099623F">
            <w:pPr>
              <w:pStyle w:val="NormalWeb"/>
              <w:jc w:val="center"/>
            </w:pPr>
            <w:r>
              <w:t>71.0</w:t>
            </w:r>
          </w:p>
        </w:tc>
        <w:tc>
          <w:tcPr>
            <w:tcW w:w="1257" w:type="dxa"/>
            <w:hideMark/>
          </w:tcPr>
          <w:p w14:paraId="44E3CF11" w14:textId="77777777" w:rsidR="00F300C3" w:rsidRDefault="00F300C3" w:rsidP="0099623F">
            <w:pPr>
              <w:pStyle w:val="NormalWeb"/>
              <w:jc w:val="center"/>
            </w:pPr>
            <w:r>
              <w:t>68.0</w:t>
            </w:r>
          </w:p>
        </w:tc>
        <w:tc>
          <w:tcPr>
            <w:tcW w:w="1753" w:type="dxa"/>
            <w:hideMark/>
          </w:tcPr>
          <w:p w14:paraId="728BA4DA" w14:textId="77777777" w:rsidR="00F300C3" w:rsidRDefault="00F300C3" w:rsidP="0099623F">
            <w:pPr>
              <w:pStyle w:val="NormalWeb"/>
              <w:jc w:val="center"/>
            </w:pPr>
            <w:r>
              <w:t>69.1</w:t>
            </w:r>
          </w:p>
        </w:tc>
      </w:tr>
    </w:tbl>
    <w:p w14:paraId="22D8FFBE" w14:textId="77777777" w:rsidR="00F300C3" w:rsidRDefault="00F300C3" w:rsidP="00F300C3">
      <w:pPr>
        <w:pStyle w:val="CDIfootnotes"/>
        <w:rPr>
          <w:lang w:val="en-GB"/>
        </w:rPr>
      </w:pPr>
      <w:r>
        <w:rPr>
          <w:lang w:val="en-GB"/>
        </w:rPr>
        <w:t>a</w:t>
      </w:r>
      <w:r>
        <w:rPr>
          <w:lang w:val="en-GB"/>
        </w:rPr>
        <w:tab/>
        <w:t>Source: NINDSS, extract from 14 September 2021 for notifications up to 12 September 2021.</w:t>
      </w:r>
    </w:p>
    <w:p w14:paraId="79D7D8C9" w14:textId="77777777" w:rsidR="00F300C3" w:rsidRDefault="00F300C3" w:rsidP="00F300C3">
      <w:pPr>
        <w:pStyle w:val="CDIfootnotes"/>
        <w:rPr>
          <w:lang w:val="en-GB"/>
        </w:rPr>
      </w:pPr>
      <w:r>
        <w:rPr>
          <w:lang w:val="en-GB"/>
        </w:rPr>
        <w:t>b</w:t>
      </w:r>
      <w:r>
        <w:rPr>
          <w:lang w:val="en-GB"/>
        </w:rPr>
        <w:tab/>
        <w:t>Population data based on Australian Bureau of Statistics (ABS) Estimated Resident Population (ERP) as at June 2020.</w:t>
      </w:r>
    </w:p>
    <w:p w14:paraId="68A4A322" w14:textId="77777777" w:rsidR="00F300C3" w:rsidRDefault="00F300C3" w:rsidP="00F300C3">
      <w:pPr>
        <w:pStyle w:val="CDIfootnotes"/>
        <w:rPr>
          <w:lang w:val="en-GB"/>
        </w:rPr>
      </w:pPr>
      <w:r>
        <w:rPr>
          <w:lang w:val="en-GB"/>
        </w:rPr>
        <w:t>c</w:t>
      </w:r>
      <w:r>
        <w:rPr>
          <w:lang w:val="en-GB"/>
        </w:rPr>
        <w:tab/>
        <w:t>Note the change to focus on rates in this year only. For cumulative rates since the beginning of the epidemic in Australia, readers are encouraged to consult previous reports.</w:t>
      </w:r>
    </w:p>
    <w:p w14:paraId="6540C299" w14:textId="77777777" w:rsidR="001957FA" w:rsidRDefault="001957FA" w:rsidP="001957FA">
      <w:pPr>
        <w:pStyle w:val="CDIFigures"/>
        <w:rPr>
          <w:rStyle w:val="Strong"/>
          <w:b/>
          <w:bCs w:val="0"/>
        </w:rPr>
        <w:sectPr w:rsidR="001957FA" w:rsidSect="001957FA">
          <w:footnotePr>
            <w:numFmt w:val="lowerRoman"/>
          </w:footnotePr>
          <w:pgSz w:w="16838" w:h="11906" w:orient="landscape"/>
          <w:pgMar w:top="720" w:right="720" w:bottom="720" w:left="1134" w:header="709" w:footer="284" w:gutter="0"/>
          <w:cols w:space="708"/>
          <w:titlePg/>
          <w:docGrid w:linePitch="360"/>
        </w:sectPr>
      </w:pPr>
    </w:p>
    <w:p w14:paraId="634FED81" w14:textId="3B090CE7" w:rsidR="00F300C3" w:rsidRPr="0027470D" w:rsidRDefault="00F300C3" w:rsidP="0027470D">
      <w:pPr>
        <w:pStyle w:val="CDIFigures"/>
      </w:pPr>
      <w:r w:rsidRPr="0027470D">
        <w:rPr>
          <w:rStyle w:val="Strong"/>
          <w:b/>
          <w:bCs w:val="0"/>
        </w:rPr>
        <w:lastRenderedPageBreak/>
        <w:t>Table A.2: State and territory changes to COVID-19 restrictions, Australia, 16 August – 12 September 2021</w:t>
      </w:r>
    </w:p>
    <w:p w14:paraId="4B4CC69D" w14:textId="77777777" w:rsidR="00F300C3" w:rsidRDefault="00F300C3" w:rsidP="00F300C3">
      <w:pPr>
        <w:pStyle w:val="NormalWeb"/>
        <w:rPr>
          <w:lang w:val="en-GB"/>
        </w:rPr>
      </w:pPr>
      <w:r>
        <w:rPr>
          <w:rStyle w:val="Strong"/>
          <w:lang w:val="en-GB"/>
        </w:rPr>
        <w:t>ACT</w:t>
      </w:r>
    </w:p>
    <w:p w14:paraId="5B6C5F5B" w14:textId="77777777" w:rsidR="00F300C3" w:rsidRDefault="00F300C3" w:rsidP="0027470D">
      <w:pPr>
        <w:rPr>
          <w:lang w:val="en-GB"/>
        </w:rPr>
      </w:pPr>
      <w:r>
        <w:rPr>
          <w:lang w:val="en-GB"/>
        </w:rPr>
        <w:t>From 16 August, the ACT ceased all non-urgent, non-essential and non-admitted health care.</w:t>
      </w:r>
      <w:r w:rsidRPr="0011436F">
        <w:rPr>
          <w:vertAlign w:val="superscript"/>
          <w:lang w:val="en-GB"/>
        </w:rPr>
        <w:t>13</w:t>
      </w:r>
    </w:p>
    <w:p w14:paraId="67931C98" w14:textId="77777777" w:rsidR="00F300C3" w:rsidRDefault="00F300C3" w:rsidP="0027470D">
      <w:pPr>
        <w:rPr>
          <w:lang w:val="en-GB"/>
        </w:rPr>
      </w:pPr>
      <w:r>
        <w:rPr>
          <w:lang w:val="en-GB"/>
        </w:rPr>
        <w:t>From 17 August, ACT extended the lockdown until 2 September and restricted construction works to essential urgent repair and maintenance services.</w:t>
      </w:r>
      <w:r w:rsidRPr="0011436F">
        <w:rPr>
          <w:vertAlign w:val="superscript"/>
          <w:lang w:val="en-GB"/>
        </w:rPr>
        <w:t>14,15</w:t>
      </w:r>
    </w:p>
    <w:p w14:paraId="11BCDAB3" w14:textId="77777777" w:rsidR="00F300C3" w:rsidRDefault="00F300C3" w:rsidP="0027470D">
      <w:pPr>
        <w:rPr>
          <w:lang w:val="en-GB"/>
        </w:rPr>
      </w:pPr>
      <w:r>
        <w:rPr>
          <w:lang w:val="en-GB"/>
        </w:rPr>
        <w:t>From 20 August, ACT announced only approved residents in NSW can enter ACT for COVID-19 vaccination.</w:t>
      </w:r>
      <w:r w:rsidRPr="0011436F">
        <w:rPr>
          <w:vertAlign w:val="superscript"/>
          <w:lang w:val="en-GB"/>
        </w:rPr>
        <w:t>16</w:t>
      </w:r>
    </w:p>
    <w:p w14:paraId="151EB296" w14:textId="77777777" w:rsidR="00F300C3" w:rsidRDefault="00F300C3" w:rsidP="0027470D">
      <w:pPr>
        <w:rPr>
          <w:lang w:val="en-GB"/>
        </w:rPr>
      </w:pPr>
      <w:r>
        <w:rPr>
          <w:lang w:val="en-GB"/>
        </w:rPr>
        <w:t>From 23 August, residents aged 16 to 29 years are eligible for COVID-19 vaccination.</w:t>
      </w:r>
      <w:r w:rsidRPr="0011436F">
        <w:rPr>
          <w:vertAlign w:val="superscript"/>
          <w:lang w:val="en-GB"/>
        </w:rPr>
        <w:t>17</w:t>
      </w:r>
    </w:p>
    <w:p w14:paraId="55B5E8C0" w14:textId="77777777" w:rsidR="00F300C3" w:rsidRDefault="00F300C3" w:rsidP="0027470D">
      <w:pPr>
        <w:rPr>
          <w:lang w:val="en-GB"/>
        </w:rPr>
      </w:pPr>
      <w:r>
        <w:rPr>
          <w:lang w:val="en-GB"/>
        </w:rPr>
        <w:t>From 25 August, ACT announced its COVID-19 response workforce will be enhanced with qualified student health practitioners permitted to give COVID-19 vaccinations.</w:t>
      </w:r>
      <w:r w:rsidRPr="0011436F">
        <w:rPr>
          <w:vertAlign w:val="superscript"/>
          <w:lang w:val="en-GB"/>
        </w:rPr>
        <w:t>18</w:t>
      </w:r>
    </w:p>
    <w:p w14:paraId="3EAEF9CC" w14:textId="77777777" w:rsidR="00F300C3" w:rsidRDefault="00F300C3" w:rsidP="0027470D">
      <w:pPr>
        <w:rPr>
          <w:lang w:val="en-GB"/>
        </w:rPr>
      </w:pPr>
      <w:r>
        <w:rPr>
          <w:lang w:val="en-GB"/>
        </w:rPr>
        <w:t>From 27 August, ACT announced essential businesses are required to operate using click and collect for contactless pickup or delivery only, gyms and wellness centres can allow two people to attend to stream or broadcast classes to patrons, and real estate businesses can allow one person to conduct property inspections required by law for the sale of a property to proceed, including film and photography purposes.</w:t>
      </w:r>
      <w:r w:rsidRPr="0011436F">
        <w:rPr>
          <w:vertAlign w:val="superscript"/>
          <w:lang w:val="en-GB"/>
        </w:rPr>
        <w:t>19</w:t>
      </w:r>
    </w:p>
    <w:p w14:paraId="59B1DE1A" w14:textId="77777777" w:rsidR="00F300C3" w:rsidRDefault="00F300C3" w:rsidP="0027470D">
      <w:pPr>
        <w:rPr>
          <w:lang w:val="en-GB"/>
        </w:rPr>
      </w:pPr>
      <w:r>
        <w:rPr>
          <w:lang w:val="en-GB"/>
        </w:rPr>
        <w:t xml:space="preserve">From 31 August, ACT extended the lockdown until 17 September with amendments to restrictions from 2 September </w:t>
      </w:r>
      <w:proofErr w:type="gramStart"/>
      <w:r>
        <w:rPr>
          <w:lang w:val="en-GB"/>
        </w:rPr>
        <w:t>including:</w:t>
      </w:r>
      <w:proofErr w:type="gramEnd"/>
      <w:r w:rsidRPr="0011436F">
        <w:rPr>
          <w:vertAlign w:val="superscript"/>
          <w:lang w:val="en-GB"/>
        </w:rPr>
        <w:t>20</w:t>
      </w:r>
    </w:p>
    <w:p w14:paraId="17A260DE"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 xml:space="preserve">one household (any size) or up to 5 people can gather outdoors for up to 2 hours for exercise or non-organised </w:t>
      </w:r>
      <w:proofErr w:type="gramStart"/>
      <w:r w:rsidRPr="0027470D">
        <w:rPr>
          <w:rFonts w:eastAsia="Times New Roman"/>
          <w:lang w:val="en-GB"/>
        </w:rPr>
        <w:t>recreation;</w:t>
      </w:r>
      <w:proofErr w:type="gramEnd"/>
    </w:p>
    <w:p w14:paraId="4B6ADAD2"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 xml:space="preserve">outdoor playgrounds, fitness stations and dog parks </w:t>
      </w:r>
      <w:proofErr w:type="gramStart"/>
      <w:r w:rsidRPr="0027470D">
        <w:rPr>
          <w:rFonts w:eastAsia="Times New Roman"/>
          <w:lang w:val="en-GB"/>
        </w:rPr>
        <w:t>reopen;</w:t>
      </w:r>
      <w:proofErr w:type="gramEnd"/>
    </w:p>
    <w:p w14:paraId="5D5990A4"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no more than 20 people can attend funerals (excluding the people necessary to conduct the funeral</w:t>
      </w:r>
      <w:proofErr w:type="gramStart"/>
      <w:r w:rsidRPr="0027470D">
        <w:rPr>
          <w:rFonts w:eastAsia="Times New Roman"/>
          <w:lang w:val="en-GB"/>
        </w:rPr>
        <w:t>);</w:t>
      </w:r>
      <w:proofErr w:type="gramEnd"/>
    </w:p>
    <w:p w14:paraId="500EC210"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no more than 10 attendees at weddings (excluding the celebrant, but including persons being married and two witnesses</w:t>
      </w:r>
      <w:proofErr w:type="gramStart"/>
      <w:r w:rsidRPr="0027470D">
        <w:rPr>
          <w:rFonts w:eastAsia="Times New Roman"/>
          <w:lang w:val="en-GB"/>
        </w:rPr>
        <w:t>);</w:t>
      </w:r>
      <w:proofErr w:type="gramEnd"/>
    </w:p>
    <w:p w14:paraId="6137BB86"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other religious ceremonies which are time critical are permitted to go ahead with no more than 10 people (excluding those conducting the service</w:t>
      </w:r>
      <w:proofErr w:type="gramStart"/>
      <w:r w:rsidRPr="0027470D">
        <w:rPr>
          <w:rFonts w:eastAsia="Times New Roman"/>
          <w:lang w:val="en-GB"/>
        </w:rPr>
        <w:t>);</w:t>
      </w:r>
      <w:proofErr w:type="gramEnd"/>
    </w:p>
    <w:p w14:paraId="3221EA1C" w14:textId="77777777" w:rsidR="00F300C3" w:rsidRPr="0027470D" w:rsidRDefault="00F300C3" w:rsidP="0027470D">
      <w:pPr>
        <w:pStyle w:val="ListParagraph"/>
        <w:numPr>
          <w:ilvl w:val="0"/>
          <w:numId w:val="19"/>
        </w:numPr>
        <w:rPr>
          <w:rFonts w:eastAsia="Times New Roman"/>
          <w:lang w:val="en-GB"/>
        </w:rPr>
      </w:pPr>
      <w:r w:rsidRPr="0027470D">
        <w:rPr>
          <w:rFonts w:eastAsia="Times New Roman"/>
          <w:lang w:val="en-GB"/>
        </w:rPr>
        <w:t xml:space="preserve">the recommencement of outdoor services where physical distancing can be maintained, such as outdoor maintenance and gardening, and dog </w:t>
      </w:r>
      <w:proofErr w:type="gramStart"/>
      <w:r w:rsidRPr="0027470D">
        <w:rPr>
          <w:rFonts w:eastAsia="Times New Roman"/>
          <w:lang w:val="en-GB"/>
        </w:rPr>
        <w:t>grooming;</w:t>
      </w:r>
      <w:proofErr w:type="gramEnd"/>
    </w:p>
    <w:p w14:paraId="5A1EF343" w14:textId="77777777" w:rsidR="00F300C3" w:rsidRDefault="00F300C3" w:rsidP="0027470D">
      <w:pPr>
        <w:rPr>
          <w:lang w:val="en-GB"/>
        </w:rPr>
      </w:pPr>
      <w:r>
        <w:rPr>
          <w:lang w:val="en-GB"/>
        </w:rPr>
        <w:t>From 3 September, Transport Canberra will provide free transport on bus and light rail for anyone travelling to any ACT Government COVID-19 vaccination clinic.</w:t>
      </w:r>
      <w:r w:rsidRPr="0011436F">
        <w:rPr>
          <w:vertAlign w:val="superscript"/>
          <w:lang w:val="en-GB"/>
        </w:rPr>
        <w:t>21</w:t>
      </w:r>
    </w:p>
    <w:p w14:paraId="706728EE" w14:textId="77777777" w:rsidR="00F300C3" w:rsidRDefault="00F300C3" w:rsidP="0027470D">
      <w:pPr>
        <w:rPr>
          <w:lang w:val="en-GB"/>
        </w:rPr>
      </w:pPr>
      <w:r>
        <w:rPr>
          <w:lang w:val="en-GB"/>
        </w:rPr>
        <w:t>From 6 September, residents can get their second dose of AstraZeneca between four and eight weeks after their first dose to better protect them from the COVID-19 Delta variant.</w:t>
      </w:r>
      <w:r w:rsidRPr="0011436F">
        <w:rPr>
          <w:vertAlign w:val="superscript"/>
          <w:lang w:val="en-GB"/>
        </w:rPr>
        <w:t>22</w:t>
      </w:r>
    </w:p>
    <w:p w14:paraId="409A1943" w14:textId="77777777" w:rsidR="00F300C3" w:rsidRDefault="00F300C3" w:rsidP="00F300C3">
      <w:pPr>
        <w:pStyle w:val="NormalWeb"/>
        <w:rPr>
          <w:lang w:val="en-GB"/>
        </w:rPr>
      </w:pPr>
      <w:r>
        <w:rPr>
          <w:rStyle w:val="Strong"/>
          <w:lang w:val="en-GB"/>
        </w:rPr>
        <w:t>NSW</w:t>
      </w:r>
    </w:p>
    <w:p w14:paraId="72C80145" w14:textId="77777777" w:rsidR="00F300C3" w:rsidRDefault="00F300C3" w:rsidP="0027470D">
      <w:pPr>
        <w:rPr>
          <w:lang w:val="en-GB"/>
        </w:rPr>
      </w:pPr>
      <w:r>
        <w:rPr>
          <w:lang w:val="en-GB"/>
        </w:rPr>
        <w:t>From 18 August, NSW announced residents aged 16 to 39 years old within the 12 LGAs of concern will receive priority access to COVID-19 vaccination,23 and private hospital staff across NSW will be deployed to assist with the outbreak response.</w:t>
      </w:r>
      <w:r w:rsidRPr="0011436F">
        <w:rPr>
          <w:vertAlign w:val="superscript"/>
          <w:lang w:val="en-GB"/>
        </w:rPr>
        <w:t>24</w:t>
      </w:r>
    </w:p>
    <w:p w14:paraId="7DE59D6A" w14:textId="77777777" w:rsidR="00F300C3" w:rsidRDefault="00F300C3" w:rsidP="0027470D">
      <w:pPr>
        <w:rPr>
          <w:lang w:val="en-GB"/>
        </w:rPr>
      </w:pPr>
      <w:r>
        <w:rPr>
          <w:lang w:val="en-GB"/>
        </w:rPr>
        <w:t>From 21 August, NSW announced a permit system to allow travel between Greater Sydney and regional NSW.</w:t>
      </w:r>
      <w:r w:rsidRPr="0011436F">
        <w:rPr>
          <w:vertAlign w:val="superscript"/>
          <w:lang w:val="en-GB"/>
        </w:rPr>
        <w:t>25</w:t>
      </w:r>
    </w:p>
    <w:p w14:paraId="6CD4D455" w14:textId="77777777" w:rsidR="00F300C3" w:rsidRDefault="00F300C3" w:rsidP="0027470D">
      <w:pPr>
        <w:rPr>
          <w:lang w:val="en-GB"/>
        </w:rPr>
      </w:pPr>
      <w:r>
        <w:rPr>
          <w:lang w:val="en-GB"/>
        </w:rPr>
        <w:t>From 23 August, non-elective surgery will be postponed at some private hospitals.</w:t>
      </w:r>
      <w:r w:rsidRPr="0011436F">
        <w:rPr>
          <w:vertAlign w:val="superscript"/>
          <w:lang w:val="en-GB"/>
        </w:rPr>
        <w:t>24</w:t>
      </w:r>
    </w:p>
    <w:p w14:paraId="3BE29F37" w14:textId="77777777" w:rsidR="00F300C3" w:rsidRDefault="00F300C3" w:rsidP="0027470D">
      <w:pPr>
        <w:rPr>
          <w:lang w:val="en-GB"/>
        </w:rPr>
      </w:pPr>
      <w:r>
        <w:rPr>
          <w:lang w:val="en-GB"/>
        </w:rPr>
        <w:t xml:space="preserve">From 26 August, NSW announced eased restrictions for residents who have received both doses of a COVID-19 vaccine, coming into effect from 13 September, </w:t>
      </w:r>
      <w:proofErr w:type="gramStart"/>
      <w:r>
        <w:rPr>
          <w:lang w:val="en-GB"/>
        </w:rPr>
        <w:t>including:</w:t>
      </w:r>
      <w:proofErr w:type="gramEnd"/>
      <w:r w:rsidRPr="0011436F">
        <w:rPr>
          <w:vertAlign w:val="superscript"/>
          <w:lang w:val="en-GB"/>
        </w:rPr>
        <w:t>26</w:t>
      </w:r>
    </w:p>
    <w:p w14:paraId="0002CED6" w14:textId="77777777" w:rsidR="00F300C3" w:rsidRPr="0027470D" w:rsidRDefault="00F300C3" w:rsidP="0027470D">
      <w:pPr>
        <w:pStyle w:val="ListParagraph"/>
        <w:numPr>
          <w:ilvl w:val="0"/>
          <w:numId w:val="20"/>
        </w:numPr>
        <w:rPr>
          <w:rFonts w:eastAsia="Times New Roman"/>
          <w:lang w:val="en-GB"/>
        </w:rPr>
      </w:pPr>
      <w:r w:rsidRPr="0027470D">
        <w:rPr>
          <w:rFonts w:eastAsia="Times New Roman"/>
          <w:lang w:val="en-GB"/>
        </w:rPr>
        <w:lastRenderedPageBreak/>
        <w:t xml:space="preserve">For those who live outside the LGAs of concern, outdoor gatherings of up to five people (including children) will be allowed in a person’s LGA or within 5km of </w:t>
      </w:r>
      <w:proofErr w:type="gramStart"/>
      <w:r w:rsidRPr="0027470D">
        <w:rPr>
          <w:rFonts w:eastAsia="Times New Roman"/>
          <w:lang w:val="en-GB"/>
        </w:rPr>
        <w:t>home;</w:t>
      </w:r>
      <w:proofErr w:type="gramEnd"/>
    </w:p>
    <w:p w14:paraId="06C590A8" w14:textId="77777777" w:rsidR="00F300C3" w:rsidRPr="0027470D" w:rsidRDefault="00F300C3" w:rsidP="0027470D">
      <w:pPr>
        <w:pStyle w:val="ListParagraph"/>
        <w:numPr>
          <w:ilvl w:val="0"/>
          <w:numId w:val="20"/>
        </w:numPr>
        <w:rPr>
          <w:rFonts w:eastAsia="Times New Roman"/>
          <w:lang w:val="en-GB"/>
        </w:rPr>
      </w:pPr>
      <w:r w:rsidRPr="0027470D">
        <w:rPr>
          <w:rFonts w:eastAsia="Times New Roman"/>
          <w:lang w:val="en-GB"/>
        </w:rPr>
        <w:t>For those who live in the LGAs of concern, households with all adults vaccinated will be able to gather outdoors for recreation (including picnics) within the existing rules (for one hour only, outside curfew hours and within 5km of home). This is in addition to the one hour allowed for exercise.</w:t>
      </w:r>
    </w:p>
    <w:p w14:paraId="644B3740" w14:textId="77777777" w:rsidR="00F300C3" w:rsidRDefault="00F300C3" w:rsidP="0027470D">
      <w:pPr>
        <w:rPr>
          <w:lang w:val="en-GB"/>
        </w:rPr>
      </w:pPr>
      <w:r>
        <w:rPr>
          <w:lang w:val="en-GB"/>
        </w:rPr>
        <w:t>From 27 August, NSW announced for authorised workers to work outside their area of concern, they must get their first dose of a COVID-19 vaccine by 6 September.</w:t>
      </w:r>
      <w:r w:rsidRPr="0011436F">
        <w:rPr>
          <w:vertAlign w:val="superscript"/>
          <w:lang w:val="en-GB"/>
        </w:rPr>
        <w:t>27</w:t>
      </w:r>
    </w:p>
    <w:p w14:paraId="34937F18" w14:textId="77777777" w:rsidR="00F300C3" w:rsidRDefault="00F300C3" w:rsidP="0027470D">
      <w:pPr>
        <w:rPr>
          <w:lang w:val="en-GB"/>
        </w:rPr>
      </w:pPr>
      <w:r>
        <w:rPr>
          <w:lang w:val="en-GB"/>
        </w:rPr>
        <w:t>From 29 August, NSW launched the next phase of its state-wide COVID-19 advertising campaign aimed at encouraging people across NSW to get vaccinated.</w:t>
      </w:r>
      <w:r w:rsidRPr="0011436F">
        <w:rPr>
          <w:vertAlign w:val="superscript"/>
          <w:lang w:val="en-GB"/>
        </w:rPr>
        <w:t>28</w:t>
      </w:r>
    </w:p>
    <w:p w14:paraId="197F8B38" w14:textId="77777777" w:rsidR="00F300C3" w:rsidRDefault="00F300C3" w:rsidP="0027470D">
      <w:pPr>
        <w:rPr>
          <w:lang w:val="en-GB"/>
        </w:rPr>
      </w:pPr>
      <w:r>
        <w:rPr>
          <w:lang w:val="en-GB"/>
        </w:rPr>
        <w:t>From 30 August, NSW announced its Aboriginal Community Response Program.</w:t>
      </w:r>
      <w:r w:rsidRPr="0011436F">
        <w:rPr>
          <w:vertAlign w:val="superscript"/>
          <w:lang w:val="en-GB"/>
        </w:rPr>
        <w:t>29</w:t>
      </w:r>
    </w:p>
    <w:p w14:paraId="4D0CB278" w14:textId="77777777" w:rsidR="00F300C3" w:rsidRDefault="00F300C3" w:rsidP="0027470D">
      <w:pPr>
        <w:rPr>
          <w:lang w:val="en-GB"/>
        </w:rPr>
      </w:pPr>
      <w:r>
        <w:rPr>
          <w:lang w:val="en-GB"/>
        </w:rPr>
        <w:t>From 5 September, NSW announced the deadline for authorised workers to receive their first dose of COVID-19 vaccine is extended to 19 September, provided they booked the appointment by 8 September.</w:t>
      </w:r>
      <w:r w:rsidRPr="0011436F">
        <w:rPr>
          <w:vertAlign w:val="superscript"/>
          <w:lang w:val="en-GB"/>
        </w:rPr>
        <w:t>30</w:t>
      </w:r>
    </w:p>
    <w:p w14:paraId="7B27783D" w14:textId="77777777" w:rsidR="00F300C3" w:rsidRDefault="00F300C3" w:rsidP="0027470D">
      <w:pPr>
        <w:rPr>
          <w:lang w:val="en-GB"/>
        </w:rPr>
      </w:pPr>
      <w:r>
        <w:rPr>
          <w:lang w:val="en-GB"/>
        </w:rPr>
        <w:t xml:space="preserve">From 9 September, NSW announced stay-at-home orders would be lifted from 13 September for residents who have received both doses once the state reached its 70 per cent vaccination threshold. Eased restrictions for fully vaccinated individuals and those with a medical exemption </w:t>
      </w:r>
      <w:proofErr w:type="gramStart"/>
      <w:r>
        <w:rPr>
          <w:lang w:val="en-GB"/>
        </w:rPr>
        <w:t>include:</w:t>
      </w:r>
      <w:proofErr w:type="gramEnd"/>
      <w:r w:rsidRPr="0011436F">
        <w:rPr>
          <w:vertAlign w:val="superscript"/>
          <w:lang w:val="en-GB"/>
        </w:rPr>
        <w:t>31</w:t>
      </w:r>
    </w:p>
    <w:p w14:paraId="343CA36A"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Gatherings in the home and public spaces: up to five visitors will be allowed in a home where all adults are vaccinated (not including children 12 and under) and up to 20 people can gather in outdoor </w:t>
      </w:r>
      <w:proofErr w:type="gramStart"/>
      <w:r>
        <w:rPr>
          <w:rFonts w:eastAsia="Times New Roman"/>
          <w:lang w:val="en-GB"/>
        </w:rPr>
        <w:t>settings;</w:t>
      </w:r>
      <w:proofErr w:type="gramEnd"/>
    </w:p>
    <w:p w14:paraId="1555D8AD"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Venues including hospitality, retail stores and gyms: </w:t>
      </w:r>
    </w:p>
    <w:p w14:paraId="19661D0C"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hospitality venues can reopen subject to one person per 4sqm inside and one person per 2sqm outside, with standing while drinking permitted outside,</w:t>
      </w:r>
    </w:p>
    <w:p w14:paraId="7D7511AC"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retail stores can reopen under the one person per 4sqm rule (unvaccinated people will continue to only be able to access critical retail),</w:t>
      </w:r>
    </w:p>
    <w:p w14:paraId="0F33FC28"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personal services such as hairdressers and nail salons can open with one person per 4sqm, capped at five clients per premises,</w:t>
      </w:r>
    </w:p>
    <w:p w14:paraId="585D49FF"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gyms and indoor recreation facilities can open under the one person per 4sqm rule and can offer classes for up to 20 people, and</w:t>
      </w:r>
    </w:p>
    <w:p w14:paraId="0DEC8FB6"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sporting facilities including swimming pools can </w:t>
      </w:r>
      <w:proofErr w:type="gramStart"/>
      <w:r>
        <w:rPr>
          <w:rFonts w:eastAsia="Times New Roman"/>
          <w:lang w:val="en-GB"/>
        </w:rPr>
        <w:t>reopen;</w:t>
      </w:r>
      <w:proofErr w:type="gramEnd"/>
    </w:p>
    <w:p w14:paraId="4751E4F3"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Stadiums, </w:t>
      </w:r>
      <w:proofErr w:type="gramStart"/>
      <w:r>
        <w:rPr>
          <w:rFonts w:eastAsia="Times New Roman"/>
          <w:lang w:val="en-GB"/>
        </w:rPr>
        <w:t>theatres</w:t>
      </w:r>
      <w:proofErr w:type="gramEnd"/>
      <w:r>
        <w:rPr>
          <w:rFonts w:eastAsia="Times New Roman"/>
          <w:lang w:val="en-GB"/>
        </w:rPr>
        <w:t xml:space="preserve"> and major outdoor recreation facilities: </w:t>
      </w:r>
    </w:p>
    <w:p w14:paraId="2BC92215"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major recreation outdoor facilities including stadiums, racecourses, theme parks and zoos can reopen with one person per 4sqm, capped at 5,000 people,</w:t>
      </w:r>
    </w:p>
    <w:p w14:paraId="5E2D575E"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up to 500 people can attend ticketed and seated outdoor events, and</w:t>
      </w:r>
    </w:p>
    <w:p w14:paraId="0C7DA5E4"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indoor entertainment and information facilities including cinemas, theatres, music halls, museums and galleries can reopen with one person per 4sqm or 75 per cent fixed seated </w:t>
      </w:r>
      <w:proofErr w:type="gramStart"/>
      <w:r>
        <w:rPr>
          <w:rFonts w:eastAsia="Times New Roman"/>
          <w:lang w:val="en-GB"/>
        </w:rPr>
        <w:t>capacity;</w:t>
      </w:r>
      <w:proofErr w:type="gramEnd"/>
    </w:p>
    <w:p w14:paraId="4B51CF27"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Weddings, </w:t>
      </w:r>
      <w:proofErr w:type="gramStart"/>
      <w:r>
        <w:rPr>
          <w:rFonts w:eastAsia="Times New Roman"/>
          <w:lang w:val="en-GB"/>
        </w:rPr>
        <w:t>funerals</w:t>
      </w:r>
      <w:proofErr w:type="gramEnd"/>
      <w:r>
        <w:rPr>
          <w:rFonts w:eastAsia="Times New Roman"/>
          <w:lang w:val="en-GB"/>
        </w:rPr>
        <w:t xml:space="preserve"> and places of worship: </w:t>
      </w:r>
    </w:p>
    <w:p w14:paraId="1C84F545"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up to 50 guests can attend weddings, with dancing permitted and eating and drinking only while seated,</w:t>
      </w:r>
    </w:p>
    <w:p w14:paraId="33C21356"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up to 50 guests can attend funerals, with eating and drinking while seated, and</w:t>
      </w:r>
    </w:p>
    <w:p w14:paraId="376C97B8"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churches and places of worship to open subject to one person per 4sqm rule, with no </w:t>
      </w:r>
      <w:proofErr w:type="gramStart"/>
      <w:r>
        <w:rPr>
          <w:rFonts w:eastAsia="Times New Roman"/>
          <w:lang w:val="en-GB"/>
        </w:rPr>
        <w:t>singing;</w:t>
      </w:r>
      <w:proofErr w:type="gramEnd"/>
    </w:p>
    <w:p w14:paraId="5C0540A3"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t xml:space="preserve">Travel: </w:t>
      </w:r>
    </w:p>
    <w:p w14:paraId="508DA267"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domestic travel, including trips to regional NSW, will be permitted,</w:t>
      </w:r>
    </w:p>
    <w:p w14:paraId="649C268D"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caravan parks and camping grounds can open,</w:t>
      </w:r>
    </w:p>
    <w:p w14:paraId="557FE6F5"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carpooling will be permitted,</w:t>
      </w:r>
    </w:p>
    <w:p w14:paraId="26CC28E3"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non-vaccinated young people aged under 16 will be able to access all outdoor settings but will only be able to visit indoor venues with members of their household, and</w:t>
      </w:r>
    </w:p>
    <w:p w14:paraId="014944D1"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employers must continue to allow employees to work from home if the employee is able to do so; and</w:t>
      </w:r>
    </w:p>
    <w:p w14:paraId="72E1A9D0" w14:textId="77777777" w:rsidR="00F300C3" w:rsidRDefault="00F300C3" w:rsidP="00F300C3">
      <w:pPr>
        <w:numPr>
          <w:ilvl w:val="0"/>
          <w:numId w:val="12"/>
        </w:numPr>
        <w:spacing w:before="100" w:beforeAutospacing="1" w:after="100" w:afterAutospacing="1" w:line="240" w:lineRule="auto"/>
        <w:rPr>
          <w:rFonts w:eastAsia="Times New Roman"/>
          <w:lang w:val="en-GB"/>
        </w:rPr>
      </w:pPr>
      <w:r>
        <w:rPr>
          <w:rFonts w:eastAsia="Times New Roman"/>
          <w:lang w:val="en-GB"/>
        </w:rPr>
        <w:lastRenderedPageBreak/>
        <w:t xml:space="preserve">Masks: </w:t>
      </w:r>
    </w:p>
    <w:p w14:paraId="563C90FD"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 xml:space="preserve">masks will remain mandatory for all indoor public venues, including public transport, front-of-house hospitality, </w:t>
      </w:r>
      <w:proofErr w:type="gramStart"/>
      <w:r>
        <w:rPr>
          <w:rFonts w:eastAsia="Times New Roman"/>
          <w:lang w:val="en-GB"/>
        </w:rPr>
        <w:t>retail</w:t>
      </w:r>
      <w:proofErr w:type="gramEnd"/>
      <w:r>
        <w:rPr>
          <w:rFonts w:eastAsia="Times New Roman"/>
          <w:lang w:val="en-GB"/>
        </w:rPr>
        <w:t xml:space="preserve"> and business premises, on planes and at airports,</w:t>
      </w:r>
    </w:p>
    <w:p w14:paraId="6C932C06"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only hospitality staff will be required to wear a mask when outdoors, and</w:t>
      </w:r>
    </w:p>
    <w:p w14:paraId="650CD485" w14:textId="77777777" w:rsidR="00F300C3" w:rsidRDefault="00F300C3" w:rsidP="00F300C3">
      <w:pPr>
        <w:numPr>
          <w:ilvl w:val="1"/>
          <w:numId w:val="12"/>
        </w:numPr>
        <w:spacing w:before="100" w:beforeAutospacing="1" w:after="100" w:afterAutospacing="1" w:line="240" w:lineRule="auto"/>
        <w:rPr>
          <w:rFonts w:eastAsia="Times New Roman"/>
          <w:lang w:val="en-GB"/>
        </w:rPr>
      </w:pPr>
      <w:r>
        <w:rPr>
          <w:rFonts w:eastAsia="Times New Roman"/>
          <w:lang w:val="en-GB"/>
        </w:rPr>
        <w:t>children aged under 12 will not need to wear a mask indoors.</w:t>
      </w:r>
    </w:p>
    <w:p w14:paraId="3841D359" w14:textId="77777777" w:rsidR="00F300C3" w:rsidRDefault="00F300C3" w:rsidP="0027470D">
      <w:pPr>
        <w:rPr>
          <w:lang w:val="en-GB"/>
        </w:rPr>
      </w:pPr>
      <w:r>
        <w:rPr>
          <w:lang w:val="en-GB"/>
        </w:rPr>
        <w:t>From 11 September, NSW announced the lockdown would be lifted for parts of regional NSW that are deemed low-risk and have had zero cases for at least 14 days, with some restrictions including:</w:t>
      </w:r>
      <w:r w:rsidRPr="0011436F">
        <w:rPr>
          <w:vertAlign w:val="superscript"/>
          <w:lang w:val="en-GB"/>
        </w:rPr>
        <w:t>32</w:t>
      </w:r>
    </w:p>
    <w:p w14:paraId="5055DFCA"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Gatherings in the home and public spaces: consistent with </w:t>
      </w:r>
      <w:proofErr w:type="gramStart"/>
      <w:r>
        <w:rPr>
          <w:rFonts w:eastAsia="Times New Roman"/>
          <w:lang w:val="en-GB"/>
        </w:rPr>
        <w:t>above;</w:t>
      </w:r>
      <w:proofErr w:type="gramEnd"/>
    </w:p>
    <w:p w14:paraId="097715CA"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Venues including hospitality, retail stores and gyms: consistent with </w:t>
      </w:r>
      <w:proofErr w:type="gramStart"/>
      <w:r>
        <w:rPr>
          <w:rFonts w:eastAsia="Times New Roman"/>
          <w:lang w:val="en-GB"/>
        </w:rPr>
        <w:t>above;</w:t>
      </w:r>
      <w:proofErr w:type="gramEnd"/>
    </w:p>
    <w:p w14:paraId="388B8BD9"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Schools will re-open with Level 3 </w:t>
      </w:r>
      <w:proofErr w:type="spellStart"/>
      <w:r>
        <w:rPr>
          <w:rFonts w:eastAsia="Times New Roman"/>
          <w:lang w:val="en-GB"/>
        </w:rPr>
        <w:t>COVIDSafe</w:t>
      </w:r>
      <w:proofErr w:type="spellEnd"/>
      <w:r>
        <w:rPr>
          <w:rFonts w:eastAsia="Times New Roman"/>
          <w:lang w:val="en-GB"/>
        </w:rPr>
        <w:t xml:space="preserve"> measures in </w:t>
      </w:r>
      <w:proofErr w:type="gramStart"/>
      <w:r>
        <w:rPr>
          <w:rFonts w:eastAsia="Times New Roman"/>
          <w:lang w:val="en-GB"/>
        </w:rPr>
        <w:t>place;</w:t>
      </w:r>
      <w:proofErr w:type="gramEnd"/>
    </w:p>
    <w:p w14:paraId="5C80D6C7"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Stadiums, theatres and major outdoor recreation facilities: consistent with </w:t>
      </w:r>
      <w:proofErr w:type="gramStart"/>
      <w:r>
        <w:rPr>
          <w:rFonts w:eastAsia="Times New Roman"/>
          <w:lang w:val="en-GB"/>
        </w:rPr>
        <w:t>above;</w:t>
      </w:r>
      <w:proofErr w:type="gramEnd"/>
    </w:p>
    <w:p w14:paraId="55BC6D0E"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 xml:space="preserve">Weddings, funerals and places of worship: consistent with </w:t>
      </w:r>
      <w:proofErr w:type="gramStart"/>
      <w:r>
        <w:rPr>
          <w:rFonts w:eastAsia="Times New Roman"/>
          <w:lang w:val="en-GB"/>
        </w:rPr>
        <w:t>above;</w:t>
      </w:r>
      <w:proofErr w:type="gramEnd"/>
    </w:p>
    <w:p w14:paraId="38B086FB"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Travel: Caravan parks and camping grounds can open, and carpooling will be permitted; and</w:t>
      </w:r>
    </w:p>
    <w:p w14:paraId="67371D4E" w14:textId="77777777" w:rsidR="00F300C3" w:rsidRDefault="00F300C3" w:rsidP="00F300C3">
      <w:pPr>
        <w:numPr>
          <w:ilvl w:val="0"/>
          <w:numId w:val="13"/>
        </w:numPr>
        <w:spacing w:before="100" w:beforeAutospacing="1" w:after="100" w:afterAutospacing="1" w:line="240" w:lineRule="auto"/>
        <w:rPr>
          <w:rFonts w:eastAsia="Times New Roman"/>
          <w:lang w:val="en-GB"/>
        </w:rPr>
      </w:pPr>
      <w:r>
        <w:rPr>
          <w:rFonts w:eastAsia="Times New Roman"/>
          <w:lang w:val="en-GB"/>
        </w:rPr>
        <w:t>Masks: consistent with above.</w:t>
      </w:r>
    </w:p>
    <w:p w14:paraId="486C162C" w14:textId="77777777" w:rsidR="00F300C3" w:rsidRDefault="00F300C3" w:rsidP="00F300C3">
      <w:pPr>
        <w:pStyle w:val="NormalWeb"/>
        <w:rPr>
          <w:lang w:val="en-GB"/>
        </w:rPr>
      </w:pPr>
      <w:r>
        <w:rPr>
          <w:rStyle w:val="Strong"/>
          <w:lang w:val="en-GB"/>
        </w:rPr>
        <w:t>NT</w:t>
      </w:r>
    </w:p>
    <w:p w14:paraId="759B71D8" w14:textId="77777777" w:rsidR="00F300C3" w:rsidRDefault="00F300C3" w:rsidP="0027470D">
      <w:pPr>
        <w:rPr>
          <w:lang w:val="en-GB"/>
        </w:rPr>
      </w:pPr>
      <w:r>
        <w:rPr>
          <w:lang w:val="en-GB"/>
        </w:rPr>
        <w:t xml:space="preserve">From 16 August, NT announced a 72-hour lockdown for the LGAs of the City of Darwin, City of Palmerston, Litchfield Council, </w:t>
      </w:r>
      <w:proofErr w:type="spellStart"/>
      <w:r>
        <w:rPr>
          <w:lang w:val="en-GB"/>
        </w:rPr>
        <w:t>Wagait</w:t>
      </w:r>
      <w:proofErr w:type="spellEnd"/>
      <w:r>
        <w:rPr>
          <w:lang w:val="en-GB"/>
        </w:rPr>
        <w:t xml:space="preserve"> Shire, </w:t>
      </w:r>
      <w:proofErr w:type="spellStart"/>
      <w:r>
        <w:rPr>
          <w:lang w:val="en-GB"/>
        </w:rPr>
        <w:t>Belyuen</w:t>
      </w:r>
      <w:proofErr w:type="spellEnd"/>
      <w:r>
        <w:rPr>
          <w:lang w:val="en-GB"/>
        </w:rPr>
        <w:t xml:space="preserve"> Shire, Dundee, Bynoe, Charlotte, Cox Peninsula, and the Municipality of Katherine including Tindal.</w:t>
      </w:r>
      <w:r w:rsidRPr="0027470D">
        <w:rPr>
          <w:vertAlign w:val="superscript"/>
          <w:lang w:val="en-GB"/>
        </w:rPr>
        <w:t>33</w:t>
      </w:r>
    </w:p>
    <w:p w14:paraId="676B5FD5" w14:textId="77777777" w:rsidR="00F300C3" w:rsidRDefault="00F300C3" w:rsidP="0027470D">
      <w:pPr>
        <w:rPr>
          <w:lang w:val="en-GB"/>
        </w:rPr>
      </w:pPr>
      <w:r>
        <w:rPr>
          <w:lang w:val="en-GB"/>
        </w:rPr>
        <w:t xml:space="preserve">From 19 August, NT extended the lockdown for the Municipality of Katherine including Tindal and lifted the lockdown for Greater Darwin with some restrictions </w:t>
      </w:r>
      <w:proofErr w:type="gramStart"/>
      <w:r>
        <w:rPr>
          <w:lang w:val="en-GB"/>
        </w:rPr>
        <w:t>including:</w:t>
      </w:r>
      <w:proofErr w:type="gramEnd"/>
      <w:r w:rsidRPr="006D0EB6">
        <w:rPr>
          <w:vertAlign w:val="superscript"/>
          <w:lang w:val="en-GB"/>
        </w:rPr>
        <w:t>34</w:t>
      </w:r>
    </w:p>
    <w:p w14:paraId="1D484BAB"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Travel will be permitted across the </w:t>
      </w:r>
      <w:proofErr w:type="gramStart"/>
      <w:r>
        <w:rPr>
          <w:rFonts w:eastAsia="Times New Roman"/>
          <w:lang w:val="en-GB"/>
        </w:rPr>
        <w:t>NT</w:t>
      </w:r>
      <w:proofErr w:type="gramEnd"/>
      <w:r>
        <w:rPr>
          <w:rFonts w:eastAsia="Times New Roman"/>
          <w:lang w:val="en-GB"/>
        </w:rPr>
        <w:t xml:space="preserve"> but restrictions continue to apply if you travel outside of the former Greater Darwin lockdown area;</w:t>
      </w:r>
    </w:p>
    <w:p w14:paraId="798B9810"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Face masks must be worn when you are unable to physically distance – this includes at places like the supermarket, shops, the hairdresser and on public transport. Workers who come into close contact with patrons, or who work in crowded environments will need to wear a </w:t>
      </w:r>
      <w:proofErr w:type="gramStart"/>
      <w:r>
        <w:rPr>
          <w:rFonts w:eastAsia="Times New Roman"/>
          <w:lang w:val="en-GB"/>
        </w:rPr>
        <w:t>mask;</w:t>
      </w:r>
      <w:proofErr w:type="gramEnd"/>
    </w:p>
    <w:p w14:paraId="7B559FCF"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The Territory Check-In App is mandatory for business, </w:t>
      </w:r>
      <w:proofErr w:type="gramStart"/>
      <w:r>
        <w:rPr>
          <w:rFonts w:eastAsia="Times New Roman"/>
          <w:lang w:val="en-GB"/>
        </w:rPr>
        <w:t>organisations</w:t>
      </w:r>
      <w:proofErr w:type="gramEnd"/>
      <w:r>
        <w:rPr>
          <w:rFonts w:eastAsia="Times New Roman"/>
          <w:lang w:val="en-GB"/>
        </w:rPr>
        <w:t xml:space="preserve"> and places. Customers and visitors must check-in every time, no matter how long they are there </w:t>
      </w:r>
      <w:proofErr w:type="gramStart"/>
      <w:r>
        <w:rPr>
          <w:rFonts w:eastAsia="Times New Roman"/>
          <w:lang w:val="en-GB"/>
        </w:rPr>
        <w:t>for;</w:t>
      </w:r>
      <w:proofErr w:type="gramEnd"/>
    </w:p>
    <w:p w14:paraId="1EE0CE19"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You can have a private gathering of up to 10 people at a time in your </w:t>
      </w:r>
      <w:proofErr w:type="gramStart"/>
      <w:r>
        <w:rPr>
          <w:rFonts w:eastAsia="Times New Roman"/>
          <w:lang w:val="en-GB"/>
        </w:rPr>
        <w:t>home;</w:t>
      </w:r>
      <w:proofErr w:type="gramEnd"/>
    </w:p>
    <w:p w14:paraId="314F5F56"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Restaurants, </w:t>
      </w:r>
      <w:proofErr w:type="gramStart"/>
      <w:r>
        <w:rPr>
          <w:rFonts w:eastAsia="Times New Roman"/>
          <w:lang w:val="en-GB"/>
        </w:rPr>
        <w:t>cafes</w:t>
      </w:r>
      <w:proofErr w:type="gramEnd"/>
      <w:r>
        <w:rPr>
          <w:rFonts w:eastAsia="Times New Roman"/>
          <w:lang w:val="en-GB"/>
        </w:rPr>
        <w:t xml:space="preserve"> and pubs will re-open for seated service only. Patrons will be required to wear a mask when at the bar. Dance floors will remain </w:t>
      </w:r>
      <w:proofErr w:type="gramStart"/>
      <w:r>
        <w:rPr>
          <w:rFonts w:eastAsia="Times New Roman"/>
          <w:lang w:val="en-GB"/>
        </w:rPr>
        <w:t>closed;</w:t>
      </w:r>
      <w:proofErr w:type="gramEnd"/>
    </w:p>
    <w:p w14:paraId="4D09404E"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Markets will remain </w:t>
      </w:r>
      <w:proofErr w:type="gramStart"/>
      <w:r>
        <w:rPr>
          <w:rFonts w:eastAsia="Times New Roman"/>
          <w:lang w:val="en-GB"/>
        </w:rPr>
        <w:t>closed;</w:t>
      </w:r>
      <w:proofErr w:type="gramEnd"/>
    </w:p>
    <w:p w14:paraId="76F4D6E9"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Non-contact sports are permitted. Indoor exercise including at gyms, Zumba, barre, Pilates, and yoga studios will remain </w:t>
      </w:r>
      <w:proofErr w:type="gramStart"/>
      <w:r>
        <w:rPr>
          <w:rFonts w:eastAsia="Times New Roman"/>
          <w:lang w:val="en-GB"/>
        </w:rPr>
        <w:t>closed;</w:t>
      </w:r>
      <w:proofErr w:type="gramEnd"/>
    </w:p>
    <w:p w14:paraId="29E59C09" w14:textId="77777777" w:rsidR="00F300C3" w:rsidRDefault="00F300C3" w:rsidP="00F300C3">
      <w:pPr>
        <w:numPr>
          <w:ilvl w:val="0"/>
          <w:numId w:val="14"/>
        </w:numPr>
        <w:spacing w:before="100" w:beforeAutospacing="1" w:after="100" w:afterAutospacing="1" w:line="240" w:lineRule="auto"/>
        <w:rPr>
          <w:rFonts w:eastAsia="Times New Roman"/>
          <w:lang w:val="en-GB"/>
        </w:rPr>
      </w:pPr>
      <w:r>
        <w:rPr>
          <w:rFonts w:eastAsia="Times New Roman"/>
          <w:lang w:val="en-GB"/>
        </w:rPr>
        <w:t xml:space="preserve">There are no additional requirements for major events, but mask rules </w:t>
      </w:r>
      <w:proofErr w:type="gramStart"/>
      <w:r>
        <w:rPr>
          <w:rFonts w:eastAsia="Times New Roman"/>
          <w:lang w:val="en-GB"/>
        </w:rPr>
        <w:t>apply</w:t>
      </w:r>
      <w:proofErr w:type="gramEnd"/>
      <w:r>
        <w:rPr>
          <w:rFonts w:eastAsia="Times New Roman"/>
          <w:lang w:val="en-GB"/>
        </w:rPr>
        <w:t xml:space="preserve"> and The Territory Check-In App must be used. Darwin Festival Park is considered an outdoor restaurant and people must be seated for eating and drinking. Masks must be worn when gathering around others; and</w:t>
      </w:r>
    </w:p>
    <w:p w14:paraId="689FD49E" w14:textId="77777777" w:rsidR="00F300C3" w:rsidRDefault="00F300C3" w:rsidP="0027470D">
      <w:pPr>
        <w:rPr>
          <w:lang w:val="en-GB"/>
        </w:rPr>
      </w:pPr>
      <w:r>
        <w:rPr>
          <w:lang w:val="en-GB"/>
        </w:rPr>
        <w:t>Schools and childcare centres will open for learning from tomorrow. Children in Middle School and Senior School will be required to wear a mask, but those students at primary school who are under 12 years are encouraged but not required to.</w:t>
      </w:r>
    </w:p>
    <w:p w14:paraId="56AC98F3" w14:textId="77777777" w:rsidR="00F300C3" w:rsidRDefault="00F300C3" w:rsidP="0027470D">
      <w:pPr>
        <w:rPr>
          <w:lang w:val="en-GB"/>
        </w:rPr>
      </w:pPr>
      <w:r>
        <w:rPr>
          <w:lang w:val="en-GB"/>
        </w:rPr>
        <w:t>From 20 August, NT lifted the lockdown in Katherine with restrictions consistent with Greater Darwin.</w:t>
      </w:r>
      <w:r w:rsidRPr="006D0EB6">
        <w:rPr>
          <w:vertAlign w:val="superscript"/>
          <w:lang w:val="en-GB"/>
        </w:rPr>
        <w:t>35</w:t>
      </w:r>
    </w:p>
    <w:p w14:paraId="36747D2B" w14:textId="77777777" w:rsidR="00F300C3" w:rsidRDefault="00F300C3" w:rsidP="0027470D">
      <w:pPr>
        <w:rPr>
          <w:lang w:val="en-GB"/>
        </w:rPr>
      </w:pPr>
      <w:r>
        <w:rPr>
          <w:lang w:val="en-GB"/>
        </w:rPr>
        <w:t>From 26 August, NT lifted restrictions for Greater Darwin and Katherine,36 and announced residents aged 12 years and over can receive a COVID-19 vaccine.</w:t>
      </w:r>
      <w:r w:rsidRPr="006D0EB6">
        <w:rPr>
          <w:vertAlign w:val="superscript"/>
          <w:lang w:val="en-GB"/>
        </w:rPr>
        <w:t>37</w:t>
      </w:r>
    </w:p>
    <w:p w14:paraId="2DF29AC3" w14:textId="77777777" w:rsidR="00F300C3" w:rsidRDefault="00F300C3" w:rsidP="0027470D">
      <w:pPr>
        <w:rPr>
          <w:lang w:val="en-GB"/>
        </w:rPr>
      </w:pPr>
      <w:r>
        <w:rPr>
          <w:lang w:val="en-GB"/>
        </w:rPr>
        <w:lastRenderedPageBreak/>
        <w:t>From 10 September, NT announced residents aged 60 years and older will be eligible to receive the Pfizer vaccine.</w:t>
      </w:r>
      <w:r w:rsidRPr="006D0EB6">
        <w:rPr>
          <w:vertAlign w:val="superscript"/>
          <w:lang w:val="en-GB"/>
        </w:rPr>
        <w:t>38</w:t>
      </w:r>
    </w:p>
    <w:p w14:paraId="4F27F0E6" w14:textId="77777777" w:rsidR="00F300C3" w:rsidRDefault="00F300C3" w:rsidP="00F300C3">
      <w:pPr>
        <w:pStyle w:val="NormalWeb"/>
        <w:rPr>
          <w:lang w:val="en-GB"/>
        </w:rPr>
      </w:pPr>
      <w:r>
        <w:rPr>
          <w:rStyle w:val="Strong"/>
          <w:lang w:val="en-GB"/>
        </w:rPr>
        <w:t>QLD</w:t>
      </w:r>
    </w:p>
    <w:p w14:paraId="4A517B06" w14:textId="77777777" w:rsidR="00F300C3" w:rsidRDefault="00F300C3" w:rsidP="0027470D">
      <w:pPr>
        <w:rPr>
          <w:lang w:val="en-GB"/>
        </w:rPr>
      </w:pPr>
      <w:r>
        <w:rPr>
          <w:lang w:val="en-GB"/>
        </w:rPr>
        <w:t>From 16 August, QLD announced only essential workers from NSW can enter with a border exemption and at least one dose of a COVID-19 vaccine by 21 August.</w:t>
      </w:r>
      <w:r w:rsidRPr="006D0EB6">
        <w:rPr>
          <w:vertAlign w:val="superscript"/>
          <w:lang w:val="en-GB"/>
        </w:rPr>
        <w:t>39</w:t>
      </w:r>
    </w:p>
    <w:p w14:paraId="32E97C5B" w14:textId="77777777" w:rsidR="00F300C3" w:rsidRDefault="00F300C3" w:rsidP="0027470D">
      <w:pPr>
        <w:rPr>
          <w:lang w:val="en-GB"/>
        </w:rPr>
      </w:pPr>
      <w:r>
        <w:rPr>
          <w:lang w:val="en-GB"/>
        </w:rPr>
        <w:t>From 3 September, QLD announced visitor restrictions for aged care facilities, disability services and hospitals in the Logan City Council area.</w:t>
      </w:r>
      <w:r w:rsidRPr="006D0EB6">
        <w:rPr>
          <w:vertAlign w:val="superscript"/>
          <w:lang w:val="en-GB"/>
        </w:rPr>
        <w:t>40</w:t>
      </w:r>
    </w:p>
    <w:p w14:paraId="42548D78" w14:textId="77777777" w:rsidR="00F300C3" w:rsidRDefault="00F300C3" w:rsidP="0027470D">
      <w:pPr>
        <w:rPr>
          <w:lang w:val="en-GB"/>
        </w:rPr>
      </w:pPr>
      <w:r>
        <w:rPr>
          <w:lang w:val="en-GB"/>
        </w:rPr>
        <w:t>From 11 September, QLD announced visitor restrictions for prisons, aged care facilities, disability services and hospitals in the Logan City Council area, and the Brisbane City Council, south of the Brisbane River.</w:t>
      </w:r>
      <w:r w:rsidRPr="006D0EB6">
        <w:rPr>
          <w:vertAlign w:val="superscript"/>
          <w:lang w:val="en-GB"/>
        </w:rPr>
        <w:t>41</w:t>
      </w:r>
    </w:p>
    <w:p w14:paraId="40C40957" w14:textId="77777777" w:rsidR="00F300C3" w:rsidRDefault="00F300C3" w:rsidP="0027470D">
      <w:pPr>
        <w:rPr>
          <w:lang w:val="en-GB"/>
        </w:rPr>
      </w:pPr>
      <w:r>
        <w:rPr>
          <w:lang w:val="en-GB"/>
        </w:rPr>
        <w:t xml:space="preserve">From 13 September, QLD announced amendments to restrictions for the NSW border, allowing essential workers and students to travel between QLD and 12 NSW LGAs within the border zone. Individuals must not have travelled to, or been in contact with a person from, locked down areas of NSW. Travel is only permitted for essential purposes </w:t>
      </w:r>
      <w:proofErr w:type="gramStart"/>
      <w:r>
        <w:rPr>
          <w:lang w:val="en-GB"/>
        </w:rPr>
        <w:t>including:</w:t>
      </w:r>
      <w:proofErr w:type="gramEnd"/>
      <w:r w:rsidRPr="006D0EB6">
        <w:rPr>
          <w:vertAlign w:val="superscript"/>
          <w:lang w:val="en-GB"/>
        </w:rPr>
        <w:t>41</w:t>
      </w:r>
    </w:p>
    <w:p w14:paraId="3BA712CA"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get food or other essential goods or services for household needs or </w:t>
      </w:r>
      <w:proofErr w:type="gramStart"/>
      <w:r>
        <w:rPr>
          <w:rFonts w:eastAsia="Times New Roman"/>
          <w:lang w:val="en-GB"/>
        </w:rPr>
        <w:t>other</w:t>
      </w:r>
      <w:proofErr w:type="gramEnd"/>
      <w:r>
        <w:rPr>
          <w:rFonts w:eastAsia="Times New Roman"/>
          <w:lang w:val="en-GB"/>
        </w:rPr>
        <w:t xml:space="preserve"> household purposes;</w:t>
      </w:r>
    </w:p>
    <w:p w14:paraId="1388B477"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get medical care or supplies or other health care services including a scheduled COVID-19 vaccination (you cannot enter for a walk-in appointment), which cannot reasonably be obtained in </w:t>
      </w:r>
      <w:proofErr w:type="gramStart"/>
      <w:r>
        <w:rPr>
          <w:rFonts w:eastAsia="Times New Roman"/>
          <w:lang w:val="en-GB"/>
        </w:rPr>
        <w:t>NSW;</w:t>
      </w:r>
      <w:proofErr w:type="gramEnd"/>
    </w:p>
    <w:p w14:paraId="7E7FEDFA"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comply with an order to attend a court or tribunal in person in the border </w:t>
      </w:r>
      <w:proofErr w:type="gramStart"/>
      <w:r>
        <w:rPr>
          <w:rFonts w:eastAsia="Times New Roman"/>
          <w:lang w:val="en-GB"/>
        </w:rPr>
        <w:t>zone;</w:t>
      </w:r>
      <w:proofErr w:type="gramEnd"/>
    </w:p>
    <w:p w14:paraId="0CD98B3B"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donate </w:t>
      </w:r>
      <w:proofErr w:type="gramStart"/>
      <w:r>
        <w:rPr>
          <w:rFonts w:eastAsia="Times New Roman"/>
          <w:lang w:val="en-GB"/>
        </w:rPr>
        <w:t>blood;</w:t>
      </w:r>
      <w:proofErr w:type="gramEnd"/>
    </w:p>
    <w:p w14:paraId="10BF1035"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perform any work that cannot be done from home or to provide emergency </w:t>
      </w:r>
      <w:proofErr w:type="gramStart"/>
      <w:r>
        <w:rPr>
          <w:rFonts w:eastAsia="Times New Roman"/>
          <w:lang w:val="en-GB"/>
        </w:rPr>
        <w:t>volunteering;</w:t>
      </w:r>
      <w:proofErr w:type="gramEnd"/>
    </w:p>
    <w:p w14:paraId="0CDD7675"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attend school, tertiary education or </w:t>
      </w:r>
      <w:proofErr w:type="gramStart"/>
      <w:r>
        <w:rPr>
          <w:rFonts w:eastAsia="Times New Roman"/>
          <w:lang w:val="en-GB"/>
        </w:rPr>
        <w:t>childcare;</w:t>
      </w:r>
      <w:proofErr w:type="gramEnd"/>
    </w:p>
    <w:p w14:paraId="271618A2"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provide assistance, care or support to a vulnerable person or family member or visit a terminally ill </w:t>
      </w:r>
      <w:proofErr w:type="gramStart"/>
      <w:r>
        <w:rPr>
          <w:rFonts w:eastAsia="Times New Roman"/>
          <w:lang w:val="en-GB"/>
        </w:rPr>
        <w:t>relative;</w:t>
      </w:r>
      <w:proofErr w:type="gramEnd"/>
    </w:p>
    <w:p w14:paraId="15BBC630"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To fulfil an obligation relating to shared parenting, child contact or contact between </w:t>
      </w:r>
      <w:proofErr w:type="gramStart"/>
      <w:r>
        <w:rPr>
          <w:rFonts w:eastAsia="Times New Roman"/>
          <w:lang w:val="en-GB"/>
        </w:rPr>
        <w:t>siblings;</w:t>
      </w:r>
      <w:proofErr w:type="gramEnd"/>
    </w:p>
    <w:p w14:paraId="5FAECFEA"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 xml:space="preserve">In </w:t>
      </w:r>
      <w:proofErr w:type="gramStart"/>
      <w:r>
        <w:rPr>
          <w:rFonts w:eastAsia="Times New Roman"/>
          <w:lang w:val="en-GB"/>
        </w:rPr>
        <w:t>an emergency situation</w:t>
      </w:r>
      <w:proofErr w:type="gramEnd"/>
      <w:r>
        <w:rPr>
          <w:rFonts w:eastAsia="Times New Roman"/>
          <w:lang w:val="en-GB"/>
        </w:rPr>
        <w:t>; and</w:t>
      </w:r>
    </w:p>
    <w:p w14:paraId="506B31DA"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For safety reasons.</w:t>
      </w:r>
    </w:p>
    <w:p w14:paraId="3B645CF9" w14:textId="77777777" w:rsidR="00F300C3" w:rsidRDefault="00F300C3" w:rsidP="00F300C3">
      <w:pPr>
        <w:numPr>
          <w:ilvl w:val="0"/>
          <w:numId w:val="15"/>
        </w:numPr>
        <w:spacing w:before="100" w:beforeAutospacing="1" w:after="100" w:afterAutospacing="1" w:line="240" w:lineRule="auto"/>
        <w:rPr>
          <w:rFonts w:eastAsia="Times New Roman"/>
          <w:lang w:val="en-GB"/>
        </w:rPr>
      </w:pPr>
      <w:r>
        <w:rPr>
          <w:rFonts w:eastAsia="Times New Roman"/>
          <w:lang w:val="en-GB"/>
        </w:rPr>
        <w:t>as directed by an emergency officer.</w:t>
      </w:r>
    </w:p>
    <w:p w14:paraId="144FA210" w14:textId="77777777" w:rsidR="00F300C3" w:rsidRDefault="00F300C3" w:rsidP="00F300C3">
      <w:pPr>
        <w:pStyle w:val="NormalWeb"/>
        <w:rPr>
          <w:lang w:val="en-GB"/>
        </w:rPr>
      </w:pPr>
      <w:r>
        <w:rPr>
          <w:rStyle w:val="Strong"/>
          <w:lang w:val="en-GB"/>
        </w:rPr>
        <w:t>SA</w:t>
      </w:r>
    </w:p>
    <w:p w14:paraId="4E08FEFA" w14:textId="77777777" w:rsidR="00F300C3" w:rsidRDefault="00F300C3" w:rsidP="0027470D">
      <w:pPr>
        <w:rPr>
          <w:lang w:val="en-GB"/>
        </w:rPr>
      </w:pPr>
      <w:r>
        <w:rPr>
          <w:lang w:val="en-GB"/>
        </w:rPr>
        <w:t>Nil.</w:t>
      </w:r>
    </w:p>
    <w:p w14:paraId="4A2A9B61" w14:textId="77777777" w:rsidR="00F300C3" w:rsidRDefault="00F300C3" w:rsidP="00F300C3">
      <w:pPr>
        <w:pStyle w:val="NormalWeb"/>
        <w:rPr>
          <w:lang w:val="en-GB"/>
        </w:rPr>
      </w:pPr>
      <w:r>
        <w:rPr>
          <w:rStyle w:val="Strong"/>
          <w:lang w:val="en-GB"/>
        </w:rPr>
        <w:t>TAS</w:t>
      </w:r>
    </w:p>
    <w:p w14:paraId="5F97BAEB" w14:textId="77777777" w:rsidR="00F300C3" w:rsidRDefault="00F300C3" w:rsidP="0027470D">
      <w:pPr>
        <w:rPr>
          <w:lang w:val="en-GB"/>
        </w:rPr>
      </w:pPr>
      <w:r>
        <w:rPr>
          <w:lang w:val="en-GB"/>
        </w:rPr>
        <w:t>From 17 August, TAS announced individuals approved for travel from a high risk – level 1 location such as NSW, will be required to produce a negative COVID-19 test within 72 hours of their travel, with test results able to be uploaded into the G2G system prior to travel.</w:t>
      </w:r>
      <w:r w:rsidRPr="006D0EB6">
        <w:rPr>
          <w:vertAlign w:val="superscript"/>
          <w:lang w:val="en-GB"/>
        </w:rPr>
        <w:t>42</w:t>
      </w:r>
    </w:p>
    <w:p w14:paraId="5AEAABAD" w14:textId="77777777" w:rsidR="00F300C3" w:rsidRDefault="00F300C3" w:rsidP="0027470D">
      <w:pPr>
        <w:rPr>
          <w:lang w:val="en-GB"/>
        </w:rPr>
      </w:pPr>
      <w:r>
        <w:rPr>
          <w:lang w:val="en-GB"/>
        </w:rPr>
        <w:t>From 20 August, TAS announced its lockdown plan should a circuit-breaker lockdown be required in the state.</w:t>
      </w:r>
      <w:r w:rsidRPr="006D0EB6">
        <w:rPr>
          <w:vertAlign w:val="superscript"/>
          <w:lang w:val="en-GB"/>
        </w:rPr>
        <w:t>43,44</w:t>
      </w:r>
    </w:p>
    <w:p w14:paraId="77C8F1AC" w14:textId="77777777" w:rsidR="00F300C3" w:rsidRDefault="00F300C3" w:rsidP="0027470D">
      <w:pPr>
        <w:rPr>
          <w:lang w:val="en-GB"/>
        </w:rPr>
      </w:pPr>
      <w:r>
        <w:rPr>
          <w:lang w:val="en-GB"/>
        </w:rPr>
        <w:t>From 22 August, TAS announced the commencement of its school vaccination program for students aged 16 years and older.</w:t>
      </w:r>
      <w:r w:rsidRPr="006D0EB6">
        <w:rPr>
          <w:vertAlign w:val="superscript"/>
          <w:lang w:val="en-GB"/>
        </w:rPr>
        <w:t>45</w:t>
      </w:r>
    </w:p>
    <w:p w14:paraId="72EC4DEA" w14:textId="77777777" w:rsidR="00F300C3" w:rsidRDefault="00F300C3" w:rsidP="0027470D">
      <w:pPr>
        <w:rPr>
          <w:lang w:val="en-GB"/>
        </w:rPr>
      </w:pPr>
      <w:r>
        <w:rPr>
          <w:lang w:val="en-GB"/>
        </w:rPr>
        <w:t xml:space="preserve">From 25 August, TAS announced three days of action from TAS Police to increase compliance with QR codes and the Check </w:t>
      </w:r>
      <w:proofErr w:type="gramStart"/>
      <w:r>
        <w:rPr>
          <w:lang w:val="en-GB"/>
        </w:rPr>
        <w:t>In</w:t>
      </w:r>
      <w:proofErr w:type="gramEnd"/>
      <w:r>
        <w:rPr>
          <w:lang w:val="en-GB"/>
        </w:rPr>
        <w:t xml:space="preserve"> TAS app, conducted in Hobart on 26 August, Launceston on 27 August and Burnie on 30 August.</w:t>
      </w:r>
      <w:r w:rsidRPr="006D0EB6">
        <w:rPr>
          <w:vertAlign w:val="superscript"/>
          <w:lang w:val="en-GB"/>
        </w:rPr>
        <w:t>46</w:t>
      </w:r>
    </w:p>
    <w:p w14:paraId="6E7602B7" w14:textId="77777777" w:rsidR="00F300C3" w:rsidRDefault="00F300C3" w:rsidP="0027470D">
      <w:pPr>
        <w:rPr>
          <w:lang w:val="en-GB"/>
        </w:rPr>
      </w:pPr>
      <w:r>
        <w:rPr>
          <w:lang w:val="en-GB"/>
        </w:rPr>
        <w:lastRenderedPageBreak/>
        <w:t>From 3 September, TAS announced Check in TAS app requirements are expanding to include more locations such as public transport,47 and all health care workers in State health care settings, both public and private, are required to be vaccinated with a first dose by 31 October.</w:t>
      </w:r>
      <w:r w:rsidRPr="006D0EB6">
        <w:rPr>
          <w:vertAlign w:val="superscript"/>
          <w:lang w:val="en-GB"/>
        </w:rPr>
        <w:t>48</w:t>
      </w:r>
    </w:p>
    <w:p w14:paraId="4053184C" w14:textId="77777777" w:rsidR="00F300C3" w:rsidRDefault="00F300C3" w:rsidP="0027470D">
      <w:pPr>
        <w:rPr>
          <w:lang w:val="en-GB"/>
        </w:rPr>
      </w:pPr>
      <w:r>
        <w:rPr>
          <w:lang w:val="en-GB"/>
        </w:rPr>
        <w:t>From 7 September, TAS announced the extension of its seasonal worker agreement with VIC, including assuming responsibility of quarantining an additional 1,500 Pacific Island workers.</w:t>
      </w:r>
      <w:r w:rsidRPr="006D0EB6">
        <w:rPr>
          <w:vertAlign w:val="superscript"/>
          <w:lang w:val="en-GB"/>
        </w:rPr>
        <w:t>49</w:t>
      </w:r>
    </w:p>
    <w:p w14:paraId="4ED7F227" w14:textId="77777777" w:rsidR="00F300C3" w:rsidRDefault="00F300C3" w:rsidP="0027470D">
      <w:pPr>
        <w:rPr>
          <w:lang w:val="en-GB"/>
        </w:rPr>
      </w:pPr>
      <w:r>
        <w:rPr>
          <w:lang w:val="en-GB"/>
        </w:rPr>
        <w:t>From 10 September, TAS announced a mask mandate for indoor or outdoor events where 1,000 or more people will be in attendance from 18 September.</w:t>
      </w:r>
      <w:r w:rsidRPr="006D0EB6">
        <w:rPr>
          <w:vertAlign w:val="superscript"/>
          <w:lang w:val="en-GB"/>
        </w:rPr>
        <w:t>50</w:t>
      </w:r>
    </w:p>
    <w:p w14:paraId="4D719424" w14:textId="77777777" w:rsidR="00F300C3" w:rsidRDefault="00F300C3" w:rsidP="00F300C3">
      <w:pPr>
        <w:pStyle w:val="NormalWeb"/>
        <w:rPr>
          <w:lang w:val="en-GB"/>
        </w:rPr>
      </w:pPr>
      <w:r>
        <w:rPr>
          <w:rStyle w:val="Strong"/>
          <w:lang w:val="en-GB"/>
        </w:rPr>
        <w:t>VIC</w:t>
      </w:r>
    </w:p>
    <w:p w14:paraId="194CF7FB" w14:textId="77777777" w:rsidR="00F300C3" w:rsidRDefault="00F300C3" w:rsidP="0027470D">
      <w:pPr>
        <w:rPr>
          <w:lang w:val="en-GB"/>
        </w:rPr>
      </w:pPr>
      <w:r>
        <w:rPr>
          <w:lang w:val="en-GB"/>
        </w:rPr>
        <w:t xml:space="preserve">From 16 August, VIC extended the lockdown to 2 September with increased restrictions </w:t>
      </w:r>
      <w:proofErr w:type="gramStart"/>
      <w:r>
        <w:rPr>
          <w:lang w:val="en-GB"/>
        </w:rPr>
        <w:t>including:</w:t>
      </w:r>
      <w:proofErr w:type="gramEnd"/>
      <w:r w:rsidRPr="006D0EB6">
        <w:rPr>
          <w:vertAlign w:val="superscript"/>
          <w:lang w:val="en-GB"/>
        </w:rPr>
        <w:t>51,52</w:t>
      </w:r>
    </w:p>
    <w:p w14:paraId="38D215ED"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A curfew imposed from 9pm to 5am every </w:t>
      </w:r>
      <w:proofErr w:type="gramStart"/>
      <w:r>
        <w:rPr>
          <w:rFonts w:eastAsia="Times New Roman"/>
          <w:lang w:val="en-GB"/>
        </w:rPr>
        <w:t>night;</w:t>
      </w:r>
      <w:proofErr w:type="gramEnd"/>
    </w:p>
    <w:p w14:paraId="6E9FF259"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Permits required to leave the house for authorised </w:t>
      </w:r>
      <w:proofErr w:type="gramStart"/>
      <w:r>
        <w:rPr>
          <w:rFonts w:eastAsia="Times New Roman"/>
          <w:lang w:val="en-GB"/>
        </w:rPr>
        <w:t>work;</w:t>
      </w:r>
      <w:proofErr w:type="gramEnd"/>
    </w:p>
    <w:p w14:paraId="09212497"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At large scale construction sites, staffing must reduce to 25 per cent or five workers on site, whichever is </w:t>
      </w:r>
      <w:proofErr w:type="gramStart"/>
      <w:r>
        <w:rPr>
          <w:rFonts w:eastAsia="Times New Roman"/>
          <w:lang w:val="en-GB"/>
        </w:rPr>
        <w:t>higher;</w:t>
      </w:r>
      <w:proofErr w:type="gramEnd"/>
    </w:p>
    <w:p w14:paraId="578569D4"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Authorised workers required to carry permits when working, and when travelling for work, from 17 August. The permits need to be certified by an </w:t>
      </w:r>
      <w:proofErr w:type="gramStart"/>
      <w:r>
        <w:rPr>
          <w:rFonts w:eastAsia="Times New Roman"/>
          <w:lang w:val="en-GB"/>
        </w:rPr>
        <w:t>employer;</w:t>
      </w:r>
      <w:proofErr w:type="gramEnd"/>
    </w:p>
    <w:p w14:paraId="3439D3F7"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Permits will also need to be carried by higher education students who are on the Authorised Provider </w:t>
      </w:r>
      <w:proofErr w:type="gramStart"/>
      <w:r>
        <w:rPr>
          <w:rFonts w:eastAsia="Times New Roman"/>
          <w:lang w:val="en-GB"/>
        </w:rPr>
        <w:t>list;</w:t>
      </w:r>
      <w:proofErr w:type="gramEnd"/>
    </w:p>
    <w:p w14:paraId="29857E6D"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 xml:space="preserve">Playgrounds, basketball hoops, skate parks and outdoor exercise equipment will now be </w:t>
      </w:r>
      <w:proofErr w:type="gramStart"/>
      <w:r>
        <w:rPr>
          <w:rFonts w:eastAsia="Times New Roman"/>
          <w:lang w:val="en-GB"/>
        </w:rPr>
        <w:t>closed;</w:t>
      </w:r>
      <w:proofErr w:type="gramEnd"/>
    </w:p>
    <w:p w14:paraId="014FF152"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People will not be able to remove their masks to drink alcoholic beverages in public; and</w:t>
      </w:r>
    </w:p>
    <w:p w14:paraId="72E98278" w14:textId="77777777" w:rsidR="00F300C3" w:rsidRDefault="00F300C3" w:rsidP="00F300C3">
      <w:pPr>
        <w:numPr>
          <w:ilvl w:val="0"/>
          <w:numId w:val="16"/>
        </w:numPr>
        <w:spacing w:before="100" w:beforeAutospacing="1" w:after="100" w:afterAutospacing="1" w:line="240" w:lineRule="auto"/>
        <w:rPr>
          <w:rFonts w:eastAsia="Times New Roman"/>
          <w:lang w:val="en-GB"/>
        </w:rPr>
      </w:pPr>
      <w:r>
        <w:rPr>
          <w:rFonts w:eastAsia="Times New Roman"/>
          <w:lang w:val="en-GB"/>
        </w:rPr>
        <w:t>Exercise limited to just you and one other person, plus dependants if they can’t be left at home.</w:t>
      </w:r>
    </w:p>
    <w:p w14:paraId="033F31D4" w14:textId="77777777" w:rsidR="00F300C3" w:rsidRDefault="00F300C3" w:rsidP="0027470D">
      <w:pPr>
        <w:rPr>
          <w:lang w:val="en-GB"/>
        </w:rPr>
      </w:pPr>
      <w:r>
        <w:rPr>
          <w:lang w:val="en-GB"/>
        </w:rPr>
        <w:t>From 21 August, VIC extended the increased lockdown restrictions to regional VIC until 2 September, with workforce permits required to leave the house for authorised work from 23 August.</w:t>
      </w:r>
      <w:r w:rsidRPr="006D0EB6">
        <w:rPr>
          <w:vertAlign w:val="superscript"/>
          <w:lang w:val="en-GB"/>
        </w:rPr>
        <w:t>53</w:t>
      </w:r>
    </w:p>
    <w:p w14:paraId="2A67572D" w14:textId="77777777" w:rsidR="00F300C3" w:rsidRDefault="00F300C3" w:rsidP="0027470D">
      <w:pPr>
        <w:rPr>
          <w:lang w:val="en-GB"/>
        </w:rPr>
      </w:pPr>
      <w:r>
        <w:rPr>
          <w:lang w:val="en-GB"/>
        </w:rPr>
        <w:t>From 2 September, VIC announced lockdown restrictions would remain until 70 per cent of the state had at least one dose of a COVID-19 vaccine.</w:t>
      </w:r>
      <w:r w:rsidRPr="006D0EB6">
        <w:rPr>
          <w:vertAlign w:val="superscript"/>
          <w:lang w:val="en-GB"/>
        </w:rPr>
        <w:t>54</w:t>
      </w:r>
    </w:p>
    <w:p w14:paraId="598825ED" w14:textId="77777777" w:rsidR="00F300C3" w:rsidRDefault="00F300C3" w:rsidP="0027470D">
      <w:pPr>
        <w:rPr>
          <w:lang w:val="en-GB"/>
        </w:rPr>
      </w:pPr>
      <w:r>
        <w:rPr>
          <w:lang w:val="en-GB"/>
        </w:rPr>
        <w:t>VIC announced playgrounds will open for children under 12 with only one parent or carer, and adults should not remove their masks to eat or drink. Playgrounds will also have QR codes for checking in. In-home care, such as babysitters, will also be expanded to school aged children but only if both parents are authorised workers.</w:t>
      </w:r>
      <w:r w:rsidRPr="006D0EB6">
        <w:rPr>
          <w:vertAlign w:val="superscript"/>
          <w:lang w:val="en-GB"/>
        </w:rPr>
        <w:t>54</w:t>
      </w:r>
    </w:p>
    <w:p w14:paraId="5723D800" w14:textId="77777777" w:rsidR="00F300C3" w:rsidRDefault="00F300C3" w:rsidP="0027470D">
      <w:pPr>
        <w:rPr>
          <w:lang w:val="en-GB"/>
        </w:rPr>
      </w:pPr>
      <w:r>
        <w:rPr>
          <w:lang w:val="en-GB"/>
        </w:rPr>
        <w:t xml:space="preserve">VIC also announced crossing the NSW border will no longer be permitted to attend physical recreation facilities and the number of communities in the border bubble will also be reduced, stating that the six VIC LGAs of Greater Bendigo, Greater </w:t>
      </w:r>
      <w:proofErr w:type="spellStart"/>
      <w:r>
        <w:rPr>
          <w:lang w:val="en-GB"/>
        </w:rPr>
        <w:t>Shepparton</w:t>
      </w:r>
      <w:proofErr w:type="spellEnd"/>
      <w:r>
        <w:rPr>
          <w:lang w:val="en-GB"/>
        </w:rPr>
        <w:t xml:space="preserve">, City of Benalla, </w:t>
      </w:r>
      <w:proofErr w:type="spellStart"/>
      <w:r>
        <w:rPr>
          <w:lang w:val="en-GB"/>
        </w:rPr>
        <w:t>Buloke</w:t>
      </w:r>
      <w:proofErr w:type="spellEnd"/>
      <w:r>
        <w:rPr>
          <w:lang w:val="en-GB"/>
        </w:rPr>
        <w:t xml:space="preserve">, Loddon, </w:t>
      </w:r>
      <w:proofErr w:type="spellStart"/>
      <w:r>
        <w:rPr>
          <w:lang w:val="en-GB"/>
        </w:rPr>
        <w:t>Yarriambiack</w:t>
      </w:r>
      <w:proofErr w:type="spellEnd"/>
      <w:r>
        <w:rPr>
          <w:lang w:val="en-GB"/>
        </w:rPr>
        <w:t xml:space="preserve"> and two NSW LGAs - Broken Hill and Edward River - will no longer be defined as cross border communities.</w:t>
      </w:r>
      <w:r w:rsidRPr="006D0EB6">
        <w:rPr>
          <w:vertAlign w:val="superscript"/>
          <w:lang w:val="en-GB"/>
        </w:rPr>
        <w:t>54</w:t>
      </w:r>
    </w:p>
    <w:p w14:paraId="15226F37" w14:textId="77777777" w:rsidR="00F300C3" w:rsidRDefault="00F300C3" w:rsidP="0027470D">
      <w:pPr>
        <w:rPr>
          <w:lang w:val="en-GB"/>
        </w:rPr>
      </w:pPr>
      <w:r>
        <w:rPr>
          <w:lang w:val="en-GB"/>
        </w:rPr>
        <w:t>From 3 September, VIC announced the Specified Worker List will reduce and testing obligations will increase for individuals with a Specified Worker Permit, including the need to be tested within 72 hours of entering Victoria, on days 6, 7 or 8 after entry and again on day 13 or 14.</w:t>
      </w:r>
      <w:r w:rsidRPr="006D0EB6">
        <w:rPr>
          <w:vertAlign w:val="superscript"/>
          <w:lang w:val="en-GB"/>
        </w:rPr>
        <w:t>54</w:t>
      </w:r>
    </w:p>
    <w:p w14:paraId="65114414" w14:textId="77777777" w:rsidR="00F300C3" w:rsidRDefault="00F300C3" w:rsidP="0027470D">
      <w:pPr>
        <w:rPr>
          <w:lang w:val="en-GB"/>
        </w:rPr>
      </w:pPr>
      <w:r>
        <w:rPr>
          <w:lang w:val="en-GB"/>
        </w:rPr>
        <w:t>From 4 September, VIC announced priority vaccination access for Year 12 students from 7 to 19 September to ensure students can sit exams.</w:t>
      </w:r>
      <w:r w:rsidRPr="006D0EB6">
        <w:rPr>
          <w:vertAlign w:val="superscript"/>
          <w:lang w:val="en-GB"/>
        </w:rPr>
        <w:t>55</w:t>
      </w:r>
    </w:p>
    <w:p w14:paraId="626DAED2" w14:textId="77777777" w:rsidR="00F300C3" w:rsidRDefault="00F300C3" w:rsidP="0027470D">
      <w:pPr>
        <w:rPr>
          <w:lang w:val="en-GB"/>
        </w:rPr>
      </w:pPr>
      <w:r>
        <w:rPr>
          <w:lang w:val="en-GB"/>
        </w:rPr>
        <w:t>From 9 September, VIC lifted restrictions for regional VIC, excluding Greater Shepparton.</w:t>
      </w:r>
      <w:r w:rsidRPr="006D0EB6">
        <w:rPr>
          <w:vertAlign w:val="superscript"/>
          <w:lang w:val="en-GB"/>
        </w:rPr>
        <w:t>56</w:t>
      </w:r>
    </w:p>
    <w:p w14:paraId="24D89C49" w14:textId="77777777" w:rsidR="00F300C3" w:rsidRDefault="00F300C3" w:rsidP="0027470D">
      <w:pPr>
        <w:rPr>
          <w:lang w:val="en-GB"/>
        </w:rPr>
      </w:pPr>
      <w:r>
        <w:rPr>
          <w:lang w:val="en-GB"/>
        </w:rPr>
        <w:t>From 10 September, VIC announced freight and healthcare workers entering VIC under the Specified Worker (Multiple Entry) Permit must have had at least one vaccination dose before entry from 23 September.</w:t>
      </w:r>
      <w:r w:rsidRPr="006D0EB6">
        <w:rPr>
          <w:vertAlign w:val="superscript"/>
          <w:lang w:val="en-GB"/>
        </w:rPr>
        <w:t>57</w:t>
      </w:r>
    </w:p>
    <w:p w14:paraId="24F068E0" w14:textId="77777777" w:rsidR="00F300C3" w:rsidRDefault="00F300C3" w:rsidP="00F300C3">
      <w:pPr>
        <w:pStyle w:val="NormalWeb"/>
        <w:rPr>
          <w:lang w:val="en-GB"/>
        </w:rPr>
      </w:pPr>
      <w:r>
        <w:rPr>
          <w:rStyle w:val="Strong"/>
          <w:lang w:val="en-GB"/>
        </w:rPr>
        <w:lastRenderedPageBreak/>
        <w:t>WA</w:t>
      </w:r>
    </w:p>
    <w:p w14:paraId="35F41060" w14:textId="77777777" w:rsidR="00F300C3" w:rsidRDefault="00F300C3" w:rsidP="0027470D">
      <w:pPr>
        <w:rPr>
          <w:lang w:val="en-GB"/>
        </w:rPr>
      </w:pPr>
      <w:r>
        <w:rPr>
          <w:lang w:val="en-GB"/>
        </w:rPr>
        <w:t>From 16 August, WA announced residents aged 16 years and over can receive a COVID-19 vaccination.</w:t>
      </w:r>
      <w:r w:rsidRPr="006D0EB6">
        <w:rPr>
          <w:vertAlign w:val="superscript"/>
          <w:lang w:val="en-GB"/>
        </w:rPr>
        <w:t>58</w:t>
      </w:r>
    </w:p>
    <w:p w14:paraId="6F24F2C9" w14:textId="77777777" w:rsidR="00F300C3" w:rsidRDefault="00F300C3" w:rsidP="0027470D">
      <w:pPr>
        <w:rPr>
          <w:lang w:val="en-GB"/>
        </w:rPr>
      </w:pPr>
      <w:r>
        <w:rPr>
          <w:lang w:val="en-GB"/>
        </w:rPr>
        <w:t xml:space="preserve">From 2 September, WA announced its staged approach to mandate vaccinations for health care and health support workers in public and private hospitals, with individuals </w:t>
      </w:r>
      <w:proofErr w:type="gramStart"/>
      <w:r>
        <w:rPr>
          <w:lang w:val="en-GB"/>
        </w:rPr>
        <w:t>requiring:</w:t>
      </w:r>
      <w:proofErr w:type="gramEnd"/>
      <w:r w:rsidRPr="006D0EB6">
        <w:rPr>
          <w:vertAlign w:val="superscript"/>
          <w:lang w:val="en-GB"/>
        </w:rPr>
        <w:t>59</w:t>
      </w:r>
    </w:p>
    <w:p w14:paraId="778306E5" w14:textId="77777777" w:rsidR="00F300C3" w:rsidRDefault="00F300C3" w:rsidP="00F300C3">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At least one dose by 1O </w:t>
      </w:r>
      <w:proofErr w:type="spellStart"/>
      <w:r>
        <w:rPr>
          <w:rFonts w:eastAsia="Times New Roman"/>
          <w:lang w:val="en-GB"/>
        </w:rPr>
        <w:t>ctober</w:t>
      </w:r>
      <w:proofErr w:type="spellEnd"/>
      <w:r>
        <w:rPr>
          <w:rFonts w:eastAsia="Times New Roman"/>
          <w:lang w:val="en-GB"/>
        </w:rPr>
        <w:t>, and the second dose by 1 November to access tier one facilities, which include intensive care units, high dependency units, respiratory wards, emergency departments, COVID-19 clinics, COVID-19 vaccination clinics and hospital wards with designated respiratory beds in certain regional hospitals;</w:t>
      </w:r>
    </w:p>
    <w:p w14:paraId="78AC8563" w14:textId="77777777" w:rsidR="00F300C3" w:rsidRDefault="00F300C3" w:rsidP="00F300C3">
      <w:pPr>
        <w:numPr>
          <w:ilvl w:val="0"/>
          <w:numId w:val="17"/>
        </w:numPr>
        <w:spacing w:before="100" w:beforeAutospacing="1" w:after="100" w:afterAutospacing="1" w:line="240" w:lineRule="auto"/>
        <w:rPr>
          <w:rFonts w:eastAsia="Times New Roman"/>
          <w:lang w:val="en-GB"/>
        </w:rPr>
      </w:pPr>
      <w:r>
        <w:rPr>
          <w:rFonts w:eastAsia="Times New Roman"/>
          <w:lang w:val="en-GB"/>
        </w:rPr>
        <w:t xml:space="preserve">At least 1 dose by 1 November, and the second dose by 1 December to access tier two facilities, which include all public and private </w:t>
      </w:r>
      <w:proofErr w:type="gramStart"/>
      <w:r>
        <w:rPr>
          <w:rFonts w:eastAsia="Times New Roman"/>
          <w:lang w:val="en-GB"/>
        </w:rPr>
        <w:t>hospitals;</w:t>
      </w:r>
      <w:proofErr w:type="gramEnd"/>
      <w:r>
        <w:rPr>
          <w:rFonts w:eastAsia="Times New Roman"/>
          <w:lang w:val="en-GB"/>
        </w:rPr>
        <w:t xml:space="preserve"> or</w:t>
      </w:r>
    </w:p>
    <w:p w14:paraId="0D860D18" w14:textId="77777777" w:rsidR="00F300C3" w:rsidRDefault="00F300C3" w:rsidP="00F300C3">
      <w:pPr>
        <w:numPr>
          <w:ilvl w:val="0"/>
          <w:numId w:val="17"/>
        </w:numPr>
        <w:spacing w:before="100" w:beforeAutospacing="1" w:after="100" w:afterAutospacing="1" w:line="240" w:lineRule="auto"/>
        <w:rPr>
          <w:rFonts w:eastAsia="Times New Roman"/>
          <w:lang w:val="en-GB"/>
        </w:rPr>
      </w:pPr>
      <w:r>
        <w:rPr>
          <w:rFonts w:eastAsia="Times New Roman"/>
          <w:lang w:val="en-GB"/>
        </w:rPr>
        <w:t>At least 1 dose by 1 December, and the second dose by 1 January 2022 to access tier two facilities, which include all public and private hospitals – for all other health support workers.</w:t>
      </w:r>
    </w:p>
    <w:p w14:paraId="6AB11B5F" w14:textId="77777777" w:rsidR="00F300C3" w:rsidRDefault="00F300C3" w:rsidP="0027470D">
      <w:pPr>
        <w:rPr>
          <w:lang w:val="en-GB"/>
        </w:rPr>
      </w:pPr>
      <w:r>
        <w:rPr>
          <w:lang w:val="en-GB"/>
        </w:rPr>
        <w:t xml:space="preserve">From 8 September, WA announced amendments for entry for Transport, Freight and Logistics drivers </w:t>
      </w:r>
      <w:proofErr w:type="gramStart"/>
      <w:r>
        <w:rPr>
          <w:lang w:val="en-GB"/>
        </w:rPr>
        <w:t>including:</w:t>
      </w:r>
      <w:proofErr w:type="gramEnd"/>
      <w:r w:rsidRPr="006D0EB6">
        <w:rPr>
          <w:vertAlign w:val="superscript"/>
          <w:lang w:val="en-GB"/>
        </w:rPr>
        <w:t>60</w:t>
      </w:r>
    </w:p>
    <w:p w14:paraId="2773FA8F" w14:textId="77777777" w:rsidR="00F300C3" w:rsidRDefault="00F300C3" w:rsidP="00F300C3">
      <w:pPr>
        <w:numPr>
          <w:ilvl w:val="0"/>
          <w:numId w:val="18"/>
        </w:numPr>
        <w:spacing w:before="100" w:beforeAutospacing="1" w:after="100" w:afterAutospacing="1" w:line="240" w:lineRule="auto"/>
        <w:rPr>
          <w:rFonts w:eastAsia="Times New Roman"/>
          <w:lang w:val="en-GB"/>
        </w:rPr>
      </w:pPr>
      <w:r>
        <w:rPr>
          <w:rFonts w:eastAsia="Times New Roman"/>
          <w:lang w:val="en-GB"/>
        </w:rPr>
        <w:t xml:space="preserve">Drivers who have been in a high risk or extreme risk jurisdictions in the previous 14 days are required to show proof of having had COVID-19 test with a negative result within the previous 72 hours </w:t>
      </w:r>
      <w:proofErr w:type="gramStart"/>
      <w:r>
        <w:rPr>
          <w:rFonts w:eastAsia="Times New Roman"/>
          <w:lang w:val="en-GB"/>
        </w:rPr>
        <w:t>in order to</w:t>
      </w:r>
      <w:proofErr w:type="gramEnd"/>
      <w:r>
        <w:rPr>
          <w:rFonts w:eastAsia="Times New Roman"/>
          <w:lang w:val="en-GB"/>
        </w:rPr>
        <w:t xml:space="preserve"> enter WA: </w:t>
      </w:r>
    </w:p>
    <w:p w14:paraId="275FFAC5" w14:textId="77777777" w:rsidR="00F300C3" w:rsidRDefault="00F300C3" w:rsidP="00F300C3">
      <w:pPr>
        <w:numPr>
          <w:ilvl w:val="1"/>
          <w:numId w:val="18"/>
        </w:numPr>
        <w:spacing w:before="100" w:beforeAutospacing="1" w:after="100" w:afterAutospacing="1" w:line="240" w:lineRule="auto"/>
        <w:rPr>
          <w:rFonts w:eastAsia="Times New Roman"/>
          <w:lang w:val="en-GB"/>
        </w:rPr>
      </w:pPr>
      <w:r>
        <w:rPr>
          <w:rFonts w:eastAsia="Times New Roman"/>
          <w:lang w:val="en-GB"/>
        </w:rPr>
        <w:t xml:space="preserve">If those drivers have not yet received their test result, they will be required to undertake a Rapid Antigen Test (RAT) at the WA border at </w:t>
      </w:r>
      <w:proofErr w:type="spellStart"/>
      <w:r>
        <w:rPr>
          <w:rFonts w:eastAsia="Times New Roman"/>
          <w:lang w:val="en-GB"/>
        </w:rPr>
        <w:t>Eucla</w:t>
      </w:r>
      <w:proofErr w:type="spellEnd"/>
      <w:r>
        <w:rPr>
          <w:rFonts w:eastAsia="Times New Roman"/>
          <w:lang w:val="en-GB"/>
        </w:rPr>
        <w:t xml:space="preserve"> or </w:t>
      </w:r>
      <w:proofErr w:type="spellStart"/>
      <w:r>
        <w:rPr>
          <w:rFonts w:eastAsia="Times New Roman"/>
          <w:lang w:val="en-GB"/>
        </w:rPr>
        <w:t>Kununurra</w:t>
      </w:r>
      <w:proofErr w:type="spellEnd"/>
      <w:r>
        <w:rPr>
          <w:rFonts w:eastAsia="Times New Roman"/>
          <w:lang w:val="en-GB"/>
        </w:rPr>
        <w:t xml:space="preserve"> and wait for a negative result before being granted </w:t>
      </w:r>
      <w:proofErr w:type="gramStart"/>
      <w:r>
        <w:rPr>
          <w:rFonts w:eastAsia="Times New Roman"/>
          <w:lang w:val="en-GB"/>
        </w:rPr>
        <w:t>entry;</w:t>
      </w:r>
      <w:proofErr w:type="gramEnd"/>
    </w:p>
    <w:p w14:paraId="28242199" w14:textId="77777777" w:rsidR="00F300C3" w:rsidRDefault="00F300C3" w:rsidP="00F300C3">
      <w:pPr>
        <w:numPr>
          <w:ilvl w:val="0"/>
          <w:numId w:val="18"/>
        </w:numPr>
        <w:spacing w:before="100" w:beforeAutospacing="1" w:after="100" w:afterAutospacing="1" w:line="240" w:lineRule="auto"/>
        <w:rPr>
          <w:rFonts w:eastAsia="Times New Roman"/>
          <w:lang w:val="en-GB"/>
        </w:rPr>
      </w:pPr>
      <w:r>
        <w:rPr>
          <w:rFonts w:eastAsia="Times New Roman"/>
          <w:lang w:val="en-GB"/>
        </w:rPr>
        <w:t xml:space="preserve">Drivers who have not been in a high risk or extreme risk jurisdiction in the previous 14 days will remain subject to the seven-day testing protocol. Any driver who cannot provide evidence of a negative COVID-19 test within the previous five days will be required to test within 24 hours of entering </w:t>
      </w:r>
      <w:proofErr w:type="gramStart"/>
      <w:r>
        <w:rPr>
          <w:rFonts w:eastAsia="Times New Roman"/>
          <w:lang w:val="en-GB"/>
        </w:rPr>
        <w:t>WA;</w:t>
      </w:r>
      <w:proofErr w:type="gramEnd"/>
      <w:r>
        <w:rPr>
          <w:rFonts w:eastAsia="Times New Roman"/>
          <w:lang w:val="en-GB"/>
        </w:rPr>
        <w:t xml:space="preserve"> and</w:t>
      </w:r>
    </w:p>
    <w:p w14:paraId="0D29AFBF" w14:textId="77777777" w:rsidR="00F300C3" w:rsidRDefault="00F300C3" w:rsidP="00F300C3">
      <w:pPr>
        <w:numPr>
          <w:ilvl w:val="0"/>
          <w:numId w:val="18"/>
        </w:numPr>
        <w:spacing w:before="100" w:beforeAutospacing="1" w:after="100" w:afterAutospacing="1" w:line="240" w:lineRule="auto"/>
        <w:rPr>
          <w:rFonts w:eastAsia="Times New Roman"/>
          <w:lang w:val="en-GB"/>
        </w:rPr>
      </w:pPr>
      <w:r>
        <w:rPr>
          <w:rFonts w:eastAsia="Times New Roman"/>
          <w:lang w:val="en-GB"/>
        </w:rPr>
        <w:t xml:space="preserve">Drivers from low, medium, high, or extreme risk jurisdictions must not enter businesses or public indoor spaces unless: </w:t>
      </w:r>
    </w:p>
    <w:p w14:paraId="1347D89A" w14:textId="77777777" w:rsidR="00F300C3" w:rsidRDefault="00F300C3" w:rsidP="00F300C3">
      <w:pPr>
        <w:numPr>
          <w:ilvl w:val="1"/>
          <w:numId w:val="18"/>
        </w:numPr>
        <w:spacing w:before="100" w:beforeAutospacing="1" w:after="100" w:afterAutospacing="1" w:line="240" w:lineRule="auto"/>
        <w:rPr>
          <w:rFonts w:eastAsia="Times New Roman"/>
          <w:lang w:val="en-GB"/>
        </w:rPr>
      </w:pPr>
      <w:r>
        <w:rPr>
          <w:rFonts w:eastAsia="Times New Roman"/>
          <w:lang w:val="en-GB"/>
        </w:rPr>
        <w:t>it is part of the driver’s duties,</w:t>
      </w:r>
    </w:p>
    <w:p w14:paraId="464D57D9" w14:textId="77777777" w:rsidR="00F300C3" w:rsidRDefault="00F300C3" w:rsidP="00F300C3">
      <w:pPr>
        <w:numPr>
          <w:ilvl w:val="1"/>
          <w:numId w:val="18"/>
        </w:numPr>
        <w:spacing w:before="100" w:beforeAutospacing="1" w:after="100" w:afterAutospacing="1" w:line="240" w:lineRule="auto"/>
        <w:rPr>
          <w:rFonts w:eastAsia="Times New Roman"/>
          <w:lang w:val="en-GB"/>
        </w:rPr>
      </w:pPr>
      <w:r>
        <w:rPr>
          <w:rFonts w:eastAsia="Times New Roman"/>
          <w:lang w:val="en-GB"/>
        </w:rPr>
        <w:t xml:space="preserve">to get food, beverage, </w:t>
      </w:r>
      <w:proofErr w:type="gramStart"/>
      <w:r>
        <w:rPr>
          <w:rFonts w:eastAsia="Times New Roman"/>
          <w:lang w:val="en-GB"/>
        </w:rPr>
        <w:t>fuel</w:t>
      </w:r>
      <w:proofErr w:type="gramEnd"/>
      <w:r>
        <w:rPr>
          <w:rFonts w:eastAsia="Times New Roman"/>
          <w:lang w:val="en-GB"/>
        </w:rPr>
        <w:t xml:space="preserve"> or other necessities, which can’t be delivered to the driver, or</w:t>
      </w:r>
    </w:p>
    <w:p w14:paraId="202FF9C0" w14:textId="77777777" w:rsidR="00F300C3" w:rsidRDefault="00F300C3" w:rsidP="00F300C3">
      <w:pPr>
        <w:numPr>
          <w:ilvl w:val="1"/>
          <w:numId w:val="18"/>
        </w:numPr>
        <w:spacing w:before="100" w:beforeAutospacing="1" w:after="100" w:afterAutospacing="1" w:line="240" w:lineRule="auto"/>
        <w:rPr>
          <w:rFonts w:eastAsia="Times New Roman"/>
          <w:lang w:val="en-GB"/>
        </w:rPr>
      </w:pPr>
      <w:r>
        <w:rPr>
          <w:rFonts w:eastAsia="Times New Roman"/>
          <w:lang w:val="en-GB"/>
        </w:rPr>
        <w:t>to access goods or services for health or medical purposes.</w:t>
      </w:r>
    </w:p>
    <w:p w14:paraId="560E79CB" w14:textId="69993FBD" w:rsidR="008B5348" w:rsidRDefault="008B5348">
      <w:pPr>
        <w:rPr>
          <w:rStyle w:val="A10"/>
        </w:rPr>
      </w:pPr>
    </w:p>
    <w:p w14:paraId="046345E7" w14:textId="77777777" w:rsidR="008B5348" w:rsidRDefault="008B5348">
      <w:pPr>
        <w:rPr>
          <w:rStyle w:val="A10"/>
        </w:rPr>
        <w:sectPr w:rsidR="008B5348" w:rsidSect="00A30C37">
          <w:footnotePr>
            <w:numFmt w:val="lowerRoman"/>
          </w:footnotePr>
          <w:pgSz w:w="11906" w:h="16838"/>
          <w:pgMar w:top="720" w:right="720" w:bottom="1134" w:left="720" w:header="709" w:footer="284" w:gutter="0"/>
          <w:cols w:space="708"/>
          <w:titlePg/>
          <w:docGrid w:linePitch="360"/>
        </w:sectPr>
      </w:pPr>
    </w:p>
    <w:p w14:paraId="6F7D6AA2" w14:textId="77777777" w:rsidR="000A5F42" w:rsidRPr="000606CC" w:rsidRDefault="000A5F42" w:rsidP="000A5F42">
      <w:pPr>
        <w:pStyle w:val="NoSpacing"/>
        <w:rPr>
          <w:rFonts w:cstheme="minorHAnsi"/>
          <w:sz w:val="18"/>
          <w:szCs w:val="18"/>
        </w:rPr>
      </w:pPr>
      <w:r w:rsidRPr="000606CC">
        <w:rPr>
          <w:rStyle w:val="Strong"/>
          <w:bCs w:val="0"/>
          <w:sz w:val="20"/>
        </w:rPr>
        <w:lastRenderedPageBreak/>
        <w:t>Communicable Diseases Intelligence</w:t>
      </w:r>
    </w:p>
    <w:p w14:paraId="3970C023" w14:textId="77777777" w:rsidR="000A5F42" w:rsidRPr="000606CC" w:rsidRDefault="000A5F42" w:rsidP="000A5F42">
      <w:pPr>
        <w:pStyle w:val="NoSpacing"/>
        <w:rPr>
          <w:rFonts w:cstheme="minorHAnsi"/>
          <w:sz w:val="20"/>
          <w:szCs w:val="18"/>
        </w:rPr>
      </w:pPr>
      <w:r w:rsidRPr="000606CC">
        <w:rPr>
          <w:rFonts w:cstheme="minorHAnsi"/>
          <w:sz w:val="20"/>
          <w:szCs w:val="18"/>
        </w:rPr>
        <w:t>ISSN: 2209-6051 Online</w:t>
      </w:r>
    </w:p>
    <w:p w14:paraId="3587DF26" w14:textId="77777777" w:rsidR="000A5F42" w:rsidRPr="000606CC" w:rsidRDefault="000A5F42" w:rsidP="000A5F42">
      <w:pPr>
        <w:pStyle w:val="NoSpacing"/>
        <w:rPr>
          <w:rStyle w:val="URI"/>
          <w:rFonts w:cstheme="minorHAnsi"/>
          <w:sz w:val="20"/>
          <w:szCs w:val="18"/>
        </w:rPr>
      </w:pPr>
    </w:p>
    <w:p w14:paraId="388885E1" w14:textId="77777777" w:rsidR="000A5F42" w:rsidRPr="000606CC" w:rsidRDefault="000A5F42" w:rsidP="000A5F42">
      <w:pPr>
        <w:pStyle w:val="NoSpacing"/>
        <w:rPr>
          <w:rStyle w:val="Strong"/>
          <w:rFonts w:cs="Calibri"/>
          <w:sz w:val="20"/>
          <w:szCs w:val="18"/>
        </w:rPr>
      </w:pPr>
      <w:r w:rsidRPr="000606CC">
        <w:rPr>
          <w:rStyle w:val="Strong"/>
          <w:rFonts w:cs="Calibri"/>
          <w:b w:val="0"/>
          <w:bCs w:val="0"/>
          <w:sz w:val="20"/>
          <w:szCs w:val="18"/>
        </w:rPr>
        <w:t>Communicable Diseases Intelligence (CDI) is a peer-reviewed scientific journal published by the Office of Health Protection</w:t>
      </w:r>
      <w:r w:rsidR="000325A0">
        <w:rPr>
          <w:rStyle w:val="Strong"/>
          <w:rFonts w:cs="Calibri"/>
          <w:b w:val="0"/>
          <w:bCs w:val="0"/>
          <w:sz w:val="20"/>
          <w:szCs w:val="18"/>
        </w:rPr>
        <w:t xml:space="preserve"> and Response</w:t>
      </w:r>
      <w:r w:rsidRPr="000606CC">
        <w:rPr>
          <w:rStyle w:val="Strong"/>
          <w:rFonts w:cs="Calibri"/>
          <w:b w:val="0"/>
          <w:bCs w:val="0"/>
          <w:sz w:val="20"/>
          <w:szCs w:val="18"/>
        </w:rPr>
        <w:t xml:space="preserve">, Department of Health. The journal aims to disseminate information on the epidemiology, surveillance, </w:t>
      </w:r>
      <w:proofErr w:type="gramStart"/>
      <w:r w:rsidRPr="000606CC">
        <w:rPr>
          <w:rStyle w:val="Strong"/>
          <w:rFonts w:cs="Calibri"/>
          <w:b w:val="0"/>
          <w:bCs w:val="0"/>
          <w:sz w:val="20"/>
          <w:szCs w:val="18"/>
        </w:rPr>
        <w:t>prevention</w:t>
      </w:r>
      <w:proofErr w:type="gramEnd"/>
      <w:r w:rsidRPr="000606CC">
        <w:rPr>
          <w:rStyle w:val="Strong"/>
          <w:rFonts w:cs="Calibri"/>
          <w:b w:val="0"/>
          <w:bCs w:val="0"/>
          <w:sz w:val="20"/>
          <w:szCs w:val="18"/>
        </w:rPr>
        <w:t xml:space="preserve"> and control of communicable diseases of relevance to Australia.</w:t>
      </w:r>
    </w:p>
    <w:p w14:paraId="6884D0BE" w14:textId="77777777" w:rsidR="000A5F42" w:rsidRPr="000606CC" w:rsidRDefault="000A5F42" w:rsidP="000A5F42">
      <w:pPr>
        <w:pStyle w:val="NoSpacing"/>
        <w:rPr>
          <w:rStyle w:val="Strong"/>
          <w:rFonts w:cstheme="minorHAnsi"/>
          <w:sz w:val="20"/>
          <w:szCs w:val="18"/>
        </w:rPr>
      </w:pPr>
    </w:p>
    <w:p w14:paraId="4A48F837"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Editor: </w:t>
      </w:r>
      <w:r w:rsidR="005C66A6" w:rsidRPr="005C66A6">
        <w:rPr>
          <w:rFonts w:cstheme="minorHAnsi"/>
          <w:sz w:val="20"/>
          <w:szCs w:val="18"/>
        </w:rPr>
        <w:t>Jennie Hood</w:t>
      </w:r>
    </w:p>
    <w:p w14:paraId="6C674519"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 xml:space="preserve">Deputy Editor: </w:t>
      </w:r>
      <w:r w:rsidR="00C838F5" w:rsidRPr="00C838F5">
        <w:rPr>
          <w:rFonts w:cstheme="minorHAnsi"/>
          <w:sz w:val="20"/>
          <w:szCs w:val="18"/>
        </w:rPr>
        <w:t>Simon Petrie</w:t>
      </w:r>
    </w:p>
    <w:p w14:paraId="50D2B83B" w14:textId="77777777" w:rsidR="000A5F42" w:rsidRPr="000606CC" w:rsidRDefault="00967410" w:rsidP="000A5F42">
      <w:pPr>
        <w:pStyle w:val="NoSpacing"/>
        <w:rPr>
          <w:rFonts w:cstheme="minorHAnsi"/>
          <w:sz w:val="20"/>
          <w:szCs w:val="18"/>
        </w:rPr>
      </w:pPr>
      <w:r>
        <w:rPr>
          <w:rStyle w:val="Strong"/>
          <w:rFonts w:cstheme="minorHAnsi"/>
          <w:sz w:val="20"/>
          <w:szCs w:val="18"/>
        </w:rPr>
        <w:t>Design</w:t>
      </w:r>
      <w:r w:rsidR="000A5F42" w:rsidRPr="000606CC">
        <w:rPr>
          <w:rStyle w:val="Strong"/>
          <w:rFonts w:cstheme="minorHAnsi"/>
          <w:sz w:val="20"/>
          <w:szCs w:val="18"/>
        </w:rPr>
        <w:t xml:space="preserve"> and Production: </w:t>
      </w:r>
      <w:r w:rsidR="000A5F42" w:rsidRPr="000606CC">
        <w:rPr>
          <w:rFonts w:cstheme="minorHAnsi"/>
          <w:sz w:val="20"/>
          <w:szCs w:val="18"/>
        </w:rPr>
        <w:t>Kasra Yousefi</w:t>
      </w:r>
    </w:p>
    <w:p w14:paraId="3EF29BDB" w14:textId="77777777" w:rsidR="000A5F42" w:rsidRPr="000606CC" w:rsidRDefault="000A5F42" w:rsidP="000A5F42">
      <w:pPr>
        <w:pStyle w:val="NoSpacing"/>
        <w:rPr>
          <w:rFonts w:cstheme="minorHAnsi"/>
          <w:b/>
          <w:bCs/>
          <w:sz w:val="20"/>
          <w:szCs w:val="18"/>
        </w:rPr>
      </w:pPr>
      <w:r w:rsidRPr="000606CC">
        <w:rPr>
          <w:rStyle w:val="Strong"/>
          <w:rFonts w:cstheme="minorHAnsi"/>
          <w:sz w:val="20"/>
          <w:szCs w:val="18"/>
        </w:rPr>
        <w:t xml:space="preserve">Editorial Advisory Board: </w:t>
      </w:r>
      <w:r w:rsidRPr="000606CC">
        <w:rPr>
          <w:rFonts w:cstheme="minorHAnsi"/>
          <w:sz w:val="20"/>
          <w:szCs w:val="18"/>
        </w:rPr>
        <w:t xml:space="preserve">David </w:t>
      </w:r>
      <w:proofErr w:type="spellStart"/>
      <w:r w:rsidRPr="000606CC">
        <w:rPr>
          <w:rFonts w:cstheme="minorHAnsi"/>
          <w:sz w:val="20"/>
          <w:szCs w:val="18"/>
        </w:rPr>
        <w:t>Durrheim</w:t>
      </w:r>
      <w:proofErr w:type="spellEnd"/>
      <w:r w:rsidRPr="000606CC">
        <w:rPr>
          <w:rFonts w:cstheme="minorHAnsi"/>
          <w:sz w:val="20"/>
          <w:szCs w:val="18"/>
        </w:rPr>
        <w:t xml:space="preserve">, </w:t>
      </w:r>
      <w:r w:rsidRPr="000606CC">
        <w:rPr>
          <w:rStyle w:val="nobreak"/>
          <w:rFonts w:cstheme="minorHAnsi"/>
          <w:sz w:val="20"/>
          <w:szCs w:val="18"/>
        </w:rPr>
        <w:t xml:space="preserve">Mark </w:t>
      </w:r>
      <w:proofErr w:type="spellStart"/>
      <w:r w:rsidRPr="000606CC">
        <w:rPr>
          <w:rStyle w:val="nobreak"/>
          <w:rFonts w:cstheme="minorHAnsi"/>
          <w:sz w:val="20"/>
          <w:szCs w:val="18"/>
        </w:rPr>
        <w:t>Ferson</w:t>
      </w:r>
      <w:proofErr w:type="spellEnd"/>
      <w:r w:rsidR="00F55648">
        <w:rPr>
          <w:rFonts w:cstheme="minorHAnsi"/>
          <w:sz w:val="20"/>
          <w:szCs w:val="18"/>
        </w:rPr>
        <w:t xml:space="preserve">, John Kaldor, </w:t>
      </w:r>
      <w:r w:rsidRPr="000606CC">
        <w:rPr>
          <w:rStyle w:val="nobreak"/>
          <w:rFonts w:cstheme="minorHAnsi"/>
          <w:sz w:val="20"/>
          <w:szCs w:val="18"/>
        </w:rPr>
        <w:t xml:space="preserve">Martyn </w:t>
      </w:r>
      <w:proofErr w:type="gramStart"/>
      <w:r w:rsidRPr="000606CC">
        <w:rPr>
          <w:rStyle w:val="nobreak"/>
          <w:rFonts w:cstheme="minorHAnsi"/>
          <w:sz w:val="20"/>
          <w:szCs w:val="18"/>
        </w:rPr>
        <w:t>Kirk</w:t>
      </w:r>
      <w:proofErr w:type="gramEnd"/>
      <w:r w:rsidR="00F55648">
        <w:rPr>
          <w:rStyle w:val="nobreak"/>
          <w:rFonts w:cstheme="minorHAnsi"/>
          <w:sz w:val="20"/>
          <w:szCs w:val="18"/>
        </w:rPr>
        <w:t xml:space="preserve"> and Linda Selvey</w:t>
      </w:r>
    </w:p>
    <w:p w14:paraId="7C51F406" w14:textId="77777777" w:rsidR="000A5F42" w:rsidRPr="000606CC" w:rsidRDefault="000A5F42" w:rsidP="000A5F42">
      <w:pPr>
        <w:pStyle w:val="NoSpacing"/>
        <w:rPr>
          <w:rStyle w:val="Strong"/>
          <w:rFonts w:cstheme="minorHAnsi"/>
          <w:sz w:val="20"/>
          <w:szCs w:val="18"/>
        </w:rPr>
      </w:pPr>
    </w:p>
    <w:p w14:paraId="6F0B97B7" w14:textId="60BBBF61"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Website</w:t>
      </w:r>
      <w:r w:rsidRPr="000606CC">
        <w:rPr>
          <w:rFonts w:cstheme="minorHAnsi"/>
          <w:sz w:val="20"/>
          <w:szCs w:val="18"/>
        </w:rPr>
        <w:t xml:space="preserve">: </w:t>
      </w:r>
      <w:hyperlink r:id="rId19" w:tooltip="CDI website" w:history="1">
        <w:r w:rsidRPr="000606CC">
          <w:rPr>
            <w:rStyle w:val="Hyperlink"/>
            <w:rFonts w:cstheme="minorHAnsi"/>
            <w:sz w:val="20"/>
            <w:szCs w:val="18"/>
          </w:rPr>
          <w:t>http://www.health.gov.au/cdi</w:t>
        </w:r>
      </w:hyperlink>
      <w:r w:rsidRPr="000606CC">
        <w:rPr>
          <w:rStyle w:val="URI"/>
          <w:rFonts w:cstheme="minorHAnsi"/>
          <w:sz w:val="20"/>
          <w:szCs w:val="18"/>
        </w:rPr>
        <w:t xml:space="preserve"> </w:t>
      </w:r>
    </w:p>
    <w:p w14:paraId="2AC84C54" w14:textId="77777777" w:rsidR="000A5F42" w:rsidRPr="000606CC" w:rsidRDefault="000A5F42" w:rsidP="000A5F42">
      <w:pPr>
        <w:pStyle w:val="NoSpacing"/>
        <w:rPr>
          <w:rStyle w:val="Strong"/>
          <w:rFonts w:cstheme="minorHAnsi"/>
          <w:sz w:val="20"/>
          <w:szCs w:val="18"/>
        </w:rPr>
      </w:pPr>
    </w:p>
    <w:p w14:paraId="61250E4D" w14:textId="77777777" w:rsidR="000A5F42" w:rsidRPr="000606CC" w:rsidRDefault="000A5F42" w:rsidP="00E54BBD">
      <w:pPr>
        <w:pStyle w:val="NoSpacing"/>
        <w:rPr>
          <w:rFonts w:cstheme="minorHAnsi"/>
          <w:sz w:val="20"/>
          <w:szCs w:val="18"/>
        </w:rPr>
      </w:pPr>
      <w:r w:rsidRPr="000606CC">
        <w:rPr>
          <w:rStyle w:val="Strong"/>
          <w:rFonts w:cstheme="minorHAnsi"/>
          <w:sz w:val="20"/>
          <w:szCs w:val="18"/>
        </w:rPr>
        <w:t>Contacts</w:t>
      </w:r>
      <w:r w:rsidRPr="000606CC">
        <w:rPr>
          <w:rStyle w:val="Strong"/>
          <w:rFonts w:cstheme="minorHAnsi"/>
          <w:sz w:val="20"/>
          <w:szCs w:val="18"/>
        </w:rPr>
        <w:br/>
      </w:r>
      <w:r w:rsidR="00E54BBD">
        <w:rPr>
          <w:rFonts w:cstheme="minorHAnsi"/>
          <w:sz w:val="20"/>
          <w:szCs w:val="18"/>
        </w:rPr>
        <w:t>CDI is produced by</w:t>
      </w:r>
      <w:r w:rsidR="00F74958">
        <w:rPr>
          <w:rFonts w:cstheme="minorHAnsi"/>
          <w:sz w:val="20"/>
          <w:szCs w:val="18"/>
        </w:rPr>
        <w:t xml:space="preserve"> the</w:t>
      </w:r>
      <w:r w:rsidR="00E54BBD">
        <w:rPr>
          <w:rFonts w:cstheme="minorHAnsi"/>
          <w:sz w:val="20"/>
          <w:szCs w:val="18"/>
        </w:rPr>
        <w:t xml:space="preserve"> </w:t>
      </w:r>
      <w:r w:rsidR="00E54BBD" w:rsidRPr="00E54BBD">
        <w:rPr>
          <w:rFonts w:cstheme="minorHAnsi"/>
          <w:sz w:val="20"/>
          <w:szCs w:val="18"/>
        </w:rPr>
        <w:t>Office of Health Protection and Response, Australian Government Department of Health, GPO Box 9848, (MDP 6) CANBERRA ACT 2601</w:t>
      </w:r>
    </w:p>
    <w:p w14:paraId="65A28D5E" w14:textId="77777777" w:rsidR="000A5F42" w:rsidRPr="000606CC" w:rsidRDefault="000A5F42" w:rsidP="000A5F42">
      <w:pPr>
        <w:pStyle w:val="NoSpacing"/>
        <w:rPr>
          <w:rStyle w:val="Strong"/>
          <w:rFonts w:cstheme="minorHAnsi"/>
          <w:sz w:val="20"/>
          <w:szCs w:val="18"/>
        </w:rPr>
      </w:pPr>
    </w:p>
    <w:p w14:paraId="2816307B" w14:textId="7388BCC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 xml:space="preserve">Email: </w:t>
      </w:r>
      <w:hyperlink r:id="rId20" w:history="1">
        <w:r w:rsidRPr="000606CC">
          <w:rPr>
            <w:rStyle w:val="Hyperlink"/>
            <w:rFonts w:cstheme="minorHAnsi"/>
            <w:sz w:val="20"/>
            <w:szCs w:val="18"/>
          </w:rPr>
          <w:t>cdi.editor@health.gov.au</w:t>
        </w:r>
      </w:hyperlink>
      <w:r w:rsidRPr="000606CC">
        <w:rPr>
          <w:rStyle w:val="URI"/>
          <w:rFonts w:cstheme="minorHAnsi"/>
          <w:sz w:val="20"/>
          <w:szCs w:val="18"/>
        </w:rPr>
        <w:t xml:space="preserve"> </w:t>
      </w:r>
    </w:p>
    <w:p w14:paraId="764EB6A5" w14:textId="77777777" w:rsidR="000A5F42" w:rsidRPr="000606CC" w:rsidRDefault="000A5F42" w:rsidP="000A5F42">
      <w:pPr>
        <w:pStyle w:val="NoSpacing"/>
        <w:rPr>
          <w:rStyle w:val="Strong"/>
          <w:rFonts w:cstheme="minorHAnsi"/>
          <w:sz w:val="20"/>
          <w:szCs w:val="18"/>
        </w:rPr>
      </w:pPr>
    </w:p>
    <w:p w14:paraId="44C1E196" w14:textId="2DF61F53" w:rsidR="000A5F42" w:rsidRPr="000606CC" w:rsidRDefault="000A5F42" w:rsidP="000A5F42">
      <w:pPr>
        <w:pStyle w:val="NoSpacing"/>
        <w:rPr>
          <w:rFonts w:cstheme="minorHAnsi"/>
          <w:sz w:val="20"/>
          <w:szCs w:val="18"/>
        </w:rPr>
      </w:pPr>
      <w:r w:rsidRPr="000606CC">
        <w:rPr>
          <w:rStyle w:val="Strong"/>
          <w:rFonts w:cstheme="minorHAnsi"/>
          <w:sz w:val="20"/>
          <w:szCs w:val="18"/>
        </w:rPr>
        <w:t>Submit an Article</w:t>
      </w:r>
      <w:r w:rsidRPr="000606CC">
        <w:rPr>
          <w:rStyle w:val="Strong"/>
          <w:rFonts w:cstheme="minorHAnsi"/>
          <w:sz w:val="20"/>
          <w:szCs w:val="18"/>
        </w:rPr>
        <w:br/>
      </w:r>
      <w:r w:rsidRPr="000606CC">
        <w:rPr>
          <w:rFonts w:cstheme="minorHAnsi"/>
          <w:sz w:val="20"/>
          <w:szCs w:val="18"/>
        </w:rPr>
        <w:t xml:space="preserve">You are invited to submit your next communicable disease related article to the Communicable Diseases Intelligence (CDI) for consideration. More information regarding CDI can be found at: </w:t>
      </w:r>
      <w:hyperlink r:id="rId21" w:tooltip="CDI Website" w:history="1">
        <w:r w:rsidRPr="000606CC">
          <w:rPr>
            <w:rStyle w:val="Hyperlink"/>
            <w:rFonts w:cstheme="minorHAnsi"/>
            <w:sz w:val="20"/>
            <w:szCs w:val="18"/>
          </w:rPr>
          <w:t>http://health.gov.au/cdi</w:t>
        </w:r>
      </w:hyperlink>
      <w:r w:rsidRPr="000606CC">
        <w:rPr>
          <w:rFonts w:cstheme="minorHAnsi"/>
          <w:sz w:val="20"/>
          <w:szCs w:val="18"/>
        </w:rPr>
        <w:t xml:space="preserve">. </w:t>
      </w:r>
    </w:p>
    <w:p w14:paraId="5CF804E4" w14:textId="0EF8498D" w:rsidR="000A5F42" w:rsidRPr="000606CC" w:rsidRDefault="000A5F42" w:rsidP="000A5F42">
      <w:pPr>
        <w:pStyle w:val="NoSpacing"/>
        <w:rPr>
          <w:rFonts w:cstheme="minorHAnsi"/>
          <w:sz w:val="20"/>
          <w:szCs w:val="18"/>
        </w:rPr>
      </w:pPr>
      <w:r w:rsidRPr="000606CC">
        <w:rPr>
          <w:rFonts w:cstheme="minorHAnsi"/>
          <w:sz w:val="20"/>
          <w:szCs w:val="18"/>
        </w:rPr>
        <w:t xml:space="preserve">Further enquiries should be directed to: </w:t>
      </w:r>
      <w:hyperlink r:id="rId22" w:history="1">
        <w:r w:rsidRPr="000606CC">
          <w:rPr>
            <w:rStyle w:val="Hyperlink"/>
            <w:rFonts w:cstheme="minorHAnsi"/>
            <w:sz w:val="20"/>
            <w:szCs w:val="18"/>
          </w:rPr>
          <w:t>cdi.editor@health.gov.au</w:t>
        </w:r>
      </w:hyperlink>
      <w:r w:rsidRPr="000606CC">
        <w:rPr>
          <w:rFonts w:cstheme="minorHAnsi"/>
          <w:sz w:val="20"/>
          <w:szCs w:val="18"/>
        </w:rPr>
        <w:t>.</w:t>
      </w:r>
    </w:p>
    <w:p w14:paraId="31E09105" w14:textId="77777777" w:rsidR="000A5F42" w:rsidRPr="000606CC" w:rsidRDefault="000A5F42" w:rsidP="000A5F42">
      <w:pPr>
        <w:pStyle w:val="NoSpacing"/>
        <w:pBdr>
          <w:bottom w:val="single" w:sz="6" w:space="1" w:color="auto"/>
        </w:pBdr>
        <w:rPr>
          <w:rStyle w:val="Strong"/>
          <w:rFonts w:cstheme="minorHAnsi"/>
          <w:sz w:val="12"/>
          <w:szCs w:val="18"/>
        </w:rPr>
      </w:pPr>
    </w:p>
    <w:p w14:paraId="0F283FC4" w14:textId="77777777" w:rsidR="000A5F42" w:rsidRPr="000606CC" w:rsidRDefault="000A5F42" w:rsidP="000A5F42">
      <w:pPr>
        <w:pStyle w:val="NoSpacing"/>
        <w:rPr>
          <w:rFonts w:cstheme="minorHAnsi"/>
          <w:sz w:val="20"/>
          <w:szCs w:val="18"/>
        </w:rPr>
      </w:pPr>
    </w:p>
    <w:p w14:paraId="1622F89B" w14:textId="77777777" w:rsidR="000A5F42" w:rsidRPr="000606CC" w:rsidRDefault="000A5F42" w:rsidP="000A5F42">
      <w:pPr>
        <w:pStyle w:val="NoSpacing"/>
        <w:rPr>
          <w:rFonts w:cstheme="minorHAnsi"/>
          <w:sz w:val="20"/>
          <w:szCs w:val="18"/>
        </w:rPr>
      </w:pPr>
      <w:r w:rsidRPr="000606CC">
        <w:rPr>
          <w:rFonts w:cstheme="minorHAnsi"/>
          <w:sz w:val="20"/>
          <w:szCs w:val="18"/>
        </w:rPr>
        <w:t>This journal is indexed by Index Medicus and Medline.</w:t>
      </w:r>
    </w:p>
    <w:p w14:paraId="56A800D7" w14:textId="77777777" w:rsidR="000A5F42" w:rsidRPr="000606CC" w:rsidRDefault="000A5F42" w:rsidP="000A5F42">
      <w:pPr>
        <w:pStyle w:val="NoSpacing"/>
        <w:rPr>
          <w:rFonts w:cstheme="minorHAnsi"/>
          <w:sz w:val="20"/>
          <w:szCs w:val="18"/>
        </w:rPr>
      </w:pPr>
    </w:p>
    <w:p w14:paraId="06350A3B" w14:textId="77777777" w:rsidR="000A5F42" w:rsidRPr="000606CC" w:rsidRDefault="000A5F42" w:rsidP="000A5F42">
      <w:pPr>
        <w:pStyle w:val="NoSpacing"/>
        <w:rPr>
          <w:rFonts w:cstheme="minorHAnsi"/>
          <w:sz w:val="20"/>
          <w:szCs w:val="18"/>
        </w:rPr>
      </w:pPr>
      <w:r w:rsidRPr="000606CC">
        <w:rPr>
          <w:rFonts w:cstheme="minorHAnsi"/>
          <w:sz w:val="20"/>
          <w:szCs w:val="18"/>
        </w:rPr>
        <w:t>Creative Commons Licence -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CC BY-NC-ND</w:t>
      </w:r>
    </w:p>
    <w:p w14:paraId="3BD62FE8" w14:textId="77777777" w:rsidR="000A5F42" w:rsidRPr="000606CC" w:rsidRDefault="000A5F42" w:rsidP="000A5F42">
      <w:pPr>
        <w:pStyle w:val="NoSpacing"/>
        <w:rPr>
          <w:rFonts w:cstheme="minorHAnsi"/>
          <w:sz w:val="20"/>
          <w:szCs w:val="18"/>
        </w:rPr>
      </w:pPr>
      <w:r w:rsidRPr="000606CC">
        <w:rPr>
          <w:rFonts w:cstheme="minorHAnsi"/>
          <w:sz w:val="20"/>
          <w:szCs w:val="18"/>
        </w:rPr>
        <w:t xml:space="preserve">© </w:t>
      </w:r>
      <w:r w:rsidR="001200CB">
        <w:rPr>
          <w:rFonts w:cstheme="minorHAnsi"/>
          <w:sz w:val="20"/>
          <w:szCs w:val="18"/>
        </w:rPr>
        <w:t>202</w:t>
      </w:r>
      <w:r w:rsidR="0024631C">
        <w:rPr>
          <w:rFonts w:cstheme="minorHAnsi"/>
          <w:sz w:val="20"/>
          <w:szCs w:val="18"/>
        </w:rPr>
        <w:t>1</w:t>
      </w:r>
      <w:r w:rsidRPr="000606CC">
        <w:rPr>
          <w:rFonts w:cstheme="minorHAnsi"/>
          <w:sz w:val="20"/>
          <w:szCs w:val="18"/>
        </w:rPr>
        <w:t xml:space="preserve"> Commonwealth of Australia as represented by the Department of Health</w:t>
      </w:r>
    </w:p>
    <w:p w14:paraId="22F8B325" w14:textId="77CDEC32" w:rsidR="000A5F42" w:rsidRPr="000606CC" w:rsidRDefault="000A5F42" w:rsidP="000A5F42">
      <w:pPr>
        <w:pStyle w:val="NoSpacing"/>
        <w:rPr>
          <w:rFonts w:cstheme="minorHAnsi"/>
          <w:sz w:val="20"/>
          <w:szCs w:val="18"/>
        </w:rPr>
      </w:pPr>
      <w:r w:rsidRPr="000606CC">
        <w:rPr>
          <w:rFonts w:cstheme="minorHAnsi"/>
          <w:sz w:val="20"/>
          <w:szCs w:val="18"/>
        </w:rPr>
        <w:t>This publication is licensed under a Creative Commons Attribution-</w:t>
      </w:r>
      <w:proofErr w:type="spellStart"/>
      <w:r w:rsidRPr="000606CC">
        <w:rPr>
          <w:rFonts w:cstheme="minorHAnsi"/>
          <w:sz w:val="20"/>
          <w:szCs w:val="18"/>
        </w:rPr>
        <w:t>NonCommercial</w:t>
      </w:r>
      <w:proofErr w:type="spellEnd"/>
      <w:r w:rsidRPr="000606CC">
        <w:rPr>
          <w:rFonts w:cstheme="minorHAnsi"/>
          <w:sz w:val="20"/>
          <w:szCs w:val="18"/>
        </w:rPr>
        <w:t>-</w:t>
      </w:r>
      <w:proofErr w:type="spellStart"/>
      <w:r w:rsidRPr="000606CC">
        <w:rPr>
          <w:rFonts w:cstheme="minorHAnsi"/>
          <w:sz w:val="20"/>
          <w:szCs w:val="18"/>
        </w:rPr>
        <w:t>NoDerivatives</w:t>
      </w:r>
      <w:proofErr w:type="spellEnd"/>
      <w:r w:rsidRPr="000606CC">
        <w:rPr>
          <w:rFonts w:cstheme="minorHAnsi"/>
          <w:sz w:val="20"/>
          <w:szCs w:val="18"/>
        </w:rPr>
        <w:t xml:space="preserve"> 4.0 International Licence from </w:t>
      </w:r>
      <w:hyperlink r:id="rId23" w:tooltip="Creative Commons licence" w:history="1">
        <w:r w:rsidRPr="000606CC">
          <w:rPr>
            <w:rStyle w:val="Hyperlink"/>
            <w:rFonts w:cstheme="minorHAnsi"/>
            <w:sz w:val="20"/>
            <w:szCs w:val="18"/>
          </w:rPr>
          <w:t>https://creativecommons.org/licenses/by-nc-nd/4.0/legalcode</w:t>
        </w:r>
      </w:hyperlink>
      <w:r w:rsidRPr="000606CC">
        <w:rPr>
          <w:rStyle w:val="URI"/>
          <w:rFonts w:cstheme="minorHAnsi"/>
          <w:sz w:val="20"/>
          <w:szCs w:val="18"/>
        </w:rPr>
        <w:t xml:space="preserve"> </w:t>
      </w:r>
      <w:r w:rsidRPr="000606CC">
        <w:rPr>
          <w:rFonts w:cstheme="minorHAnsi"/>
          <w:sz w:val="20"/>
          <w:szCs w:val="18"/>
        </w:rPr>
        <w:t>(Licence). You must read and understand the Licence before using any material from this publication.</w:t>
      </w:r>
    </w:p>
    <w:p w14:paraId="39FD6071" w14:textId="77777777" w:rsidR="000A5F42" w:rsidRPr="000606CC" w:rsidRDefault="000A5F42" w:rsidP="000A5F42">
      <w:pPr>
        <w:pStyle w:val="NoSpacing"/>
        <w:rPr>
          <w:rFonts w:cstheme="minorHAnsi"/>
          <w:sz w:val="20"/>
          <w:szCs w:val="18"/>
        </w:rPr>
      </w:pPr>
    </w:p>
    <w:p w14:paraId="4869AC43" w14:textId="77777777" w:rsidR="000A5F42" w:rsidRPr="000606CC" w:rsidRDefault="000A5F42" w:rsidP="000A5F42">
      <w:pPr>
        <w:pStyle w:val="NoSpacing"/>
        <w:rPr>
          <w:rFonts w:cstheme="minorHAnsi"/>
          <w:sz w:val="20"/>
          <w:szCs w:val="18"/>
        </w:rPr>
      </w:pPr>
      <w:r w:rsidRPr="000606CC">
        <w:rPr>
          <w:rStyle w:val="Strong"/>
          <w:rFonts w:cstheme="minorHAnsi"/>
          <w:sz w:val="20"/>
          <w:szCs w:val="18"/>
        </w:rPr>
        <w:t>Restrictions</w:t>
      </w:r>
      <w:r w:rsidRPr="000606CC">
        <w:rPr>
          <w:rStyle w:val="Strong"/>
          <w:rFonts w:cstheme="minorHAnsi"/>
          <w:sz w:val="20"/>
          <w:szCs w:val="18"/>
        </w:rPr>
        <w:br/>
      </w:r>
      <w:r w:rsidRPr="000606CC">
        <w:rPr>
          <w:rFonts w:cstheme="minorHAnsi"/>
          <w:sz w:val="20"/>
          <w:szCs w:val="18"/>
        </w:rPr>
        <w:t>The Licence does not cover, and there is no permission given for, use of any of the following material found in this publication (if</w:t>
      </w:r>
      <w:r w:rsidR="001378A3">
        <w:rPr>
          <w:rFonts w:cstheme="minorHAnsi"/>
          <w:sz w:val="20"/>
          <w:szCs w:val="18"/>
        </w:rPr>
        <w:t> </w:t>
      </w:r>
      <w:r w:rsidRPr="000606CC">
        <w:rPr>
          <w:rFonts w:cstheme="minorHAnsi"/>
          <w:sz w:val="20"/>
          <w:szCs w:val="18"/>
        </w:rPr>
        <w:t xml:space="preserve">any): </w:t>
      </w:r>
    </w:p>
    <w:p w14:paraId="19025EAF" w14:textId="737365F8"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the Commonwealth Coat of Arms (by way of information, the terms under which the Coat of Arms may be used can be found at </w:t>
      </w:r>
      <w:hyperlink r:id="rId24" w:tooltip="Australian Honours system website" w:history="1">
        <w:r w:rsidRPr="000606CC">
          <w:rPr>
            <w:rStyle w:val="Hyperlink"/>
            <w:rFonts w:cstheme="minorHAnsi"/>
            <w:sz w:val="20"/>
            <w:szCs w:val="18"/>
          </w:rPr>
          <w:t>www.itsanhonour.gov.au</w:t>
        </w:r>
      </w:hyperlink>
      <w:r w:rsidRPr="000606CC">
        <w:rPr>
          <w:rStyle w:val="URI"/>
          <w:rFonts w:cstheme="minorHAnsi"/>
          <w:sz w:val="20"/>
          <w:szCs w:val="18"/>
          <w:u w:val="none"/>
        </w:rPr>
        <w:t>)</w:t>
      </w:r>
      <w:r w:rsidRPr="000606CC">
        <w:rPr>
          <w:rFonts w:cstheme="minorHAnsi"/>
          <w:sz w:val="20"/>
          <w:szCs w:val="18"/>
        </w:rPr>
        <w:t xml:space="preserve">;  </w:t>
      </w:r>
    </w:p>
    <w:p w14:paraId="0AF718F9"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logos (including the Department of Health’s logo) and </w:t>
      </w:r>
      <w:proofErr w:type="gramStart"/>
      <w:r w:rsidRPr="000606CC">
        <w:rPr>
          <w:rFonts w:cstheme="minorHAnsi"/>
          <w:sz w:val="20"/>
          <w:szCs w:val="18"/>
        </w:rPr>
        <w:t>trademarks;</w:t>
      </w:r>
      <w:proofErr w:type="gramEnd"/>
    </w:p>
    <w:p w14:paraId="4485C12E"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photographs and </w:t>
      </w:r>
      <w:proofErr w:type="gramStart"/>
      <w:r w:rsidRPr="000606CC">
        <w:rPr>
          <w:rFonts w:cstheme="minorHAnsi"/>
          <w:sz w:val="20"/>
          <w:szCs w:val="18"/>
        </w:rPr>
        <w:t>images;</w:t>
      </w:r>
      <w:proofErr w:type="gramEnd"/>
      <w:r w:rsidRPr="000606CC">
        <w:rPr>
          <w:rFonts w:cstheme="minorHAnsi"/>
          <w:sz w:val="20"/>
          <w:szCs w:val="18"/>
        </w:rPr>
        <w:t xml:space="preserve"> </w:t>
      </w:r>
    </w:p>
    <w:p w14:paraId="5A50C871"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any signatures; and</w:t>
      </w:r>
    </w:p>
    <w:p w14:paraId="682682DF" w14:textId="77777777" w:rsidR="000A5F42" w:rsidRPr="000606CC" w:rsidRDefault="000A5F42" w:rsidP="000A5F42">
      <w:pPr>
        <w:pStyle w:val="NoSpacing"/>
        <w:numPr>
          <w:ilvl w:val="0"/>
          <w:numId w:val="6"/>
        </w:numPr>
        <w:rPr>
          <w:rFonts w:cstheme="minorHAnsi"/>
          <w:sz w:val="20"/>
          <w:szCs w:val="18"/>
        </w:rPr>
      </w:pPr>
      <w:r w:rsidRPr="000606CC">
        <w:rPr>
          <w:rFonts w:cstheme="minorHAnsi"/>
          <w:sz w:val="20"/>
          <w:szCs w:val="18"/>
        </w:rPr>
        <w:t xml:space="preserve">any material belonging to third parties. </w:t>
      </w:r>
    </w:p>
    <w:p w14:paraId="28778D77" w14:textId="77777777" w:rsidR="000A5F42" w:rsidRPr="000606CC" w:rsidRDefault="000A5F42" w:rsidP="000A5F42">
      <w:pPr>
        <w:pStyle w:val="NoSpacing"/>
        <w:rPr>
          <w:rStyle w:val="Strong"/>
          <w:rFonts w:cstheme="minorHAnsi"/>
          <w:sz w:val="20"/>
          <w:szCs w:val="18"/>
        </w:rPr>
      </w:pPr>
    </w:p>
    <w:p w14:paraId="0D7AC9A7" w14:textId="77777777" w:rsidR="000A5F42" w:rsidRPr="000606CC" w:rsidRDefault="000A5F42" w:rsidP="000A5F42">
      <w:pPr>
        <w:pStyle w:val="NoSpacing"/>
        <w:rPr>
          <w:rStyle w:val="Strong"/>
          <w:rFonts w:cstheme="minorHAnsi"/>
          <w:sz w:val="20"/>
          <w:szCs w:val="18"/>
        </w:rPr>
      </w:pPr>
      <w:r w:rsidRPr="000606CC">
        <w:rPr>
          <w:rStyle w:val="Strong"/>
          <w:rFonts w:cstheme="minorHAnsi"/>
          <w:sz w:val="20"/>
          <w:szCs w:val="18"/>
        </w:rPr>
        <w:t>Disclaimer</w:t>
      </w:r>
      <w:r w:rsidRPr="000606CC">
        <w:rPr>
          <w:rStyle w:val="Strong"/>
          <w:rFonts w:cstheme="minorHAnsi"/>
          <w:sz w:val="20"/>
          <w:szCs w:val="18"/>
        </w:rPr>
        <w:br/>
      </w:r>
      <w:r w:rsidRPr="000606CC">
        <w:rPr>
          <w:rFonts w:cstheme="minorHAnsi"/>
          <w:sz w:val="20"/>
          <w:szCs w:val="18"/>
        </w:rPr>
        <w:t>Opinions expressed in Communicable Diseases Intelligence are those of the authors and not necessarily those of the Australian Government Department of Health or the Communicable Diseases Network Australia. Data may be subject to revision.</w:t>
      </w:r>
    </w:p>
    <w:p w14:paraId="3A96C0B8" w14:textId="77777777" w:rsidR="000A5F42" w:rsidRPr="000606CC" w:rsidRDefault="000A5F42" w:rsidP="000A5F42">
      <w:pPr>
        <w:pStyle w:val="NoSpacing"/>
        <w:rPr>
          <w:rStyle w:val="Strong"/>
          <w:rFonts w:cstheme="minorHAnsi"/>
          <w:sz w:val="20"/>
          <w:szCs w:val="18"/>
        </w:rPr>
      </w:pPr>
    </w:p>
    <w:p w14:paraId="446C1D66" w14:textId="2723D703" w:rsidR="000A5F42" w:rsidRPr="000606CC" w:rsidRDefault="000A5F42" w:rsidP="000A5F42">
      <w:pPr>
        <w:pStyle w:val="NoSpacing"/>
        <w:rPr>
          <w:rStyle w:val="URI"/>
          <w:rFonts w:cstheme="minorHAnsi"/>
          <w:sz w:val="20"/>
          <w:szCs w:val="18"/>
        </w:rPr>
      </w:pPr>
      <w:r w:rsidRPr="000606CC">
        <w:rPr>
          <w:rStyle w:val="Strong"/>
          <w:rFonts w:cstheme="minorHAnsi"/>
          <w:sz w:val="20"/>
          <w:szCs w:val="18"/>
        </w:rPr>
        <w:t>Enquiries</w:t>
      </w:r>
      <w:r w:rsidRPr="000606CC">
        <w:rPr>
          <w:rStyle w:val="Strong"/>
          <w:rFonts w:cstheme="minorHAnsi"/>
          <w:sz w:val="20"/>
          <w:szCs w:val="18"/>
        </w:rPr>
        <w:br/>
      </w:r>
      <w:r w:rsidRPr="000606CC">
        <w:rPr>
          <w:rFonts w:cstheme="minorHAnsi"/>
          <w:sz w:val="20"/>
          <w:szCs w:val="18"/>
        </w:rPr>
        <w:t xml:space="preserve">Enquiries regarding any other use of this publication should be addressed to the Communication Branch, Department of Health, GPO Box 9848, Canberra ACT 2601, or via e-mail to: </w:t>
      </w:r>
      <w:hyperlink r:id="rId25" w:history="1">
        <w:r w:rsidRPr="000606CC">
          <w:rPr>
            <w:rStyle w:val="Hyperlink"/>
            <w:rFonts w:cstheme="minorHAnsi"/>
            <w:sz w:val="20"/>
            <w:szCs w:val="18"/>
          </w:rPr>
          <w:t>copyright@health.gov.au</w:t>
        </w:r>
      </w:hyperlink>
      <w:r w:rsidRPr="000606CC">
        <w:rPr>
          <w:rStyle w:val="URI"/>
          <w:rFonts w:cstheme="minorHAnsi"/>
          <w:sz w:val="20"/>
          <w:szCs w:val="18"/>
        </w:rPr>
        <w:t xml:space="preserve"> </w:t>
      </w:r>
    </w:p>
    <w:p w14:paraId="02B0A1A2" w14:textId="77777777" w:rsidR="000A5F42" w:rsidRPr="000606CC" w:rsidRDefault="000A5F42" w:rsidP="000A5F42">
      <w:pPr>
        <w:pStyle w:val="NoSpacing"/>
        <w:rPr>
          <w:rStyle w:val="URI"/>
          <w:rFonts w:cstheme="minorHAnsi"/>
          <w:sz w:val="20"/>
          <w:szCs w:val="18"/>
        </w:rPr>
      </w:pPr>
    </w:p>
    <w:p w14:paraId="4D357395" w14:textId="5B150030" w:rsidR="000A5F42" w:rsidRPr="000606CC" w:rsidRDefault="000A5F42" w:rsidP="000A5F42">
      <w:pPr>
        <w:pStyle w:val="NoSpacing"/>
        <w:rPr>
          <w:rStyle w:val="Strong"/>
          <w:rFonts w:cstheme="minorHAnsi"/>
          <w:b w:val="0"/>
          <w:bCs w:val="0"/>
          <w:color w:val="000000"/>
          <w:sz w:val="20"/>
          <w:szCs w:val="18"/>
          <w:u w:val="thick"/>
        </w:rPr>
      </w:pPr>
      <w:r w:rsidRPr="000606CC">
        <w:rPr>
          <w:rStyle w:val="Strong"/>
          <w:rFonts w:cstheme="minorHAnsi"/>
          <w:sz w:val="20"/>
          <w:szCs w:val="18"/>
        </w:rPr>
        <w:t>Communicable Diseases Network Australia</w:t>
      </w:r>
      <w:r w:rsidRPr="000606CC">
        <w:rPr>
          <w:rStyle w:val="Strong"/>
          <w:rFonts w:cstheme="minorHAnsi"/>
          <w:sz w:val="20"/>
          <w:szCs w:val="18"/>
        </w:rPr>
        <w:br/>
      </w:r>
      <w:r w:rsidRPr="000606CC">
        <w:rPr>
          <w:rFonts w:cstheme="minorHAnsi"/>
          <w:sz w:val="20"/>
          <w:szCs w:val="18"/>
        </w:rPr>
        <w:t>Communicable Diseases Intelligence contributes to the work of the Communicable Diseases Network Australia.</w:t>
      </w:r>
      <w:r w:rsidRPr="000606CC">
        <w:rPr>
          <w:rFonts w:cstheme="minorHAnsi"/>
          <w:sz w:val="20"/>
          <w:szCs w:val="18"/>
        </w:rPr>
        <w:br/>
      </w:r>
      <w:hyperlink r:id="rId26" w:tooltip="Communicable Diseases Network Australia website" w:history="1">
        <w:r w:rsidRPr="000606CC">
          <w:rPr>
            <w:rStyle w:val="Hyperlink"/>
            <w:rFonts w:cstheme="minorHAnsi"/>
            <w:sz w:val="20"/>
            <w:szCs w:val="18"/>
          </w:rPr>
          <w:t>http://www.health.gov.au/cdna</w:t>
        </w:r>
      </w:hyperlink>
    </w:p>
    <w:p w14:paraId="169FE9A9" w14:textId="77777777" w:rsidR="001B37B8" w:rsidRPr="00E92237" w:rsidRDefault="001B37B8" w:rsidP="001B37B8">
      <w:pPr>
        <w:rPr>
          <w:rFonts w:cs="Myriad Pro"/>
          <w:color w:val="211D1E"/>
          <w:sz w:val="20"/>
          <w:szCs w:val="20"/>
        </w:rPr>
      </w:pPr>
    </w:p>
    <w:sectPr w:rsidR="001B37B8" w:rsidRPr="00E92237" w:rsidSect="002B75A9">
      <w:headerReference w:type="default" r:id="rId27"/>
      <w:footnotePr>
        <w:numFmt w:val="lowerRoman"/>
      </w:footnotePr>
      <w:pgSz w:w="11906" w:h="16838"/>
      <w:pgMar w:top="720" w:right="720" w:bottom="1134" w:left="720"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4B3DDB" w14:textId="77777777" w:rsidR="0099623F" w:rsidRDefault="0099623F" w:rsidP="00E54DBA">
      <w:r>
        <w:separator/>
      </w:r>
    </w:p>
    <w:p w14:paraId="7690C842" w14:textId="77777777" w:rsidR="0099623F" w:rsidRDefault="0099623F"/>
    <w:p w14:paraId="2B5F73AE" w14:textId="77777777" w:rsidR="0099623F" w:rsidRDefault="0099623F" w:rsidP="008714B0"/>
  </w:endnote>
  <w:endnote w:type="continuationSeparator" w:id="0">
    <w:p w14:paraId="0EB850BF" w14:textId="77777777" w:rsidR="0099623F" w:rsidRDefault="0099623F" w:rsidP="00E54DBA">
      <w:r>
        <w:continuationSeparator/>
      </w:r>
    </w:p>
    <w:p w14:paraId="4FFE7631" w14:textId="77777777" w:rsidR="0099623F" w:rsidRDefault="0099623F"/>
    <w:p w14:paraId="70092897" w14:textId="77777777" w:rsidR="0099623F" w:rsidRDefault="0099623F" w:rsidP="008714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yriad Pro">
    <w:altName w:val="Segoe UI"/>
    <w:panose1 w:val="00000000000000000000"/>
    <w:charset w:val="00"/>
    <w:family w:val="swiss"/>
    <w:notTrueType/>
    <w:pitch w:val="variable"/>
    <w:sig w:usb0="20000287" w:usb1="00000001" w:usb2="00000000" w:usb3="00000000" w:csb0="0000019F" w:csb1="00000000"/>
  </w:font>
  <w:font w:name="Minion Pro SmBd">
    <w:altName w:val="Cambria"/>
    <w:panose1 w:val="02040603060306020203"/>
    <w:charset w:val="00"/>
    <w:family w:val="roman"/>
    <w:notTrueType/>
    <w:pitch w:val="variable"/>
    <w:sig w:usb0="60000287" w:usb1="00000001" w:usb2="00000000" w:usb3="00000000" w:csb0="0000019F" w:csb1="00000000"/>
  </w:font>
  <w:font w:name="Myriad Pro Cond">
    <w:altName w:val="Arial"/>
    <w:panose1 w:val="020B0506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39F5A" w14:textId="22A01765" w:rsidR="0099623F" w:rsidRPr="0042435E" w:rsidRDefault="0099623F" w:rsidP="00252C9A">
    <w:pPr>
      <w:pStyle w:val="Footer"/>
      <w:pBdr>
        <w:top w:val="single" w:sz="2"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3</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sidRPr="004315F5">
      <w:rPr>
        <w:sz w:val="18"/>
      </w:rPr>
      <w:t xml:space="preserve"> </w:t>
    </w:r>
    <w:r>
      <w:rPr>
        <w:noProof/>
        <w:sz w:val="18"/>
      </w:rPr>
      <w:ptab w:relativeTo="margin" w:alignment="center" w:leader="none"/>
    </w:r>
    <w:r w:rsidRPr="004315F5">
      <w:rPr>
        <w:sz w:val="18"/>
      </w:rPr>
      <w:t xml:space="preserve"> </w:t>
    </w:r>
    <w:proofErr w:type="spellStart"/>
    <w:r w:rsidRPr="00D57237">
      <w:rPr>
        <w:i/>
        <w:sz w:val="18"/>
      </w:rPr>
      <w:t>Commun</w:t>
    </w:r>
    <w:proofErr w:type="spellEnd"/>
    <w:r w:rsidRPr="00D57237">
      <w:rPr>
        <w:i/>
        <w:sz w:val="18"/>
      </w:rPr>
      <w:t xml:space="preserve"> Dis </w:t>
    </w:r>
    <w:proofErr w:type="spellStart"/>
    <w:r w:rsidRPr="00D57237">
      <w:rPr>
        <w:i/>
        <w:sz w:val="18"/>
      </w:rPr>
      <w:t>Intell</w:t>
    </w:r>
    <w:proofErr w:type="spellEnd"/>
    <w:r w:rsidRPr="00D57237">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https://doi.org/10.33321/cdi.2021.45.50</w:t>
    </w:r>
    <w:r>
      <w:rPr>
        <w:sz w:val="18"/>
      </w:rPr>
      <w:fldChar w:fldCharType="end"/>
    </w:r>
    <w:r>
      <w:rPr>
        <w:sz w:val="18"/>
      </w:rPr>
      <w:t xml:space="preserve"> </w:t>
    </w:r>
    <w:proofErr w:type="spellStart"/>
    <w:r w:rsidRPr="00155582">
      <w:rPr>
        <w:sz w:val="18"/>
      </w:rPr>
      <w:t>Epub</w:t>
    </w:r>
    <w:proofErr w:type="spellEnd"/>
    <w:r>
      <w:rPr>
        <w:sz w:val="18"/>
      </w:rPr>
      <w:t xml:space="preserve"> </w:t>
    </w:r>
    <w:r>
      <w:rPr>
        <w:sz w:val="18"/>
      </w:rPr>
      <w:fldChar w:fldCharType="begin"/>
    </w:r>
    <w:r>
      <w:rPr>
        <w:sz w:val="18"/>
      </w:rPr>
      <w:instrText xml:space="preserve"> DOCPROPERTY  ePubDate  \* MERGEFORMAT </w:instrText>
    </w:r>
    <w:r>
      <w:rPr>
        <w:sz w:val="18"/>
      </w:rPr>
      <w:fldChar w:fldCharType="separate"/>
    </w:r>
    <w:r w:rsidR="0020737B">
      <w:rPr>
        <w:sz w:val="18"/>
      </w:rPr>
      <w:t>24/9/2021</w:t>
    </w:r>
    <w:r>
      <w:rPr>
        <w:sz w:val="18"/>
      </w:rPr>
      <w:fldChar w:fldCharType="end"/>
    </w:r>
    <w:r>
      <w:rPr>
        <w:sz w:val="18"/>
      </w:rPr>
      <w:ptab w:relativeTo="margin" w:alignment="right" w:leader="none"/>
    </w:r>
    <w:r w:rsidRPr="00155582">
      <w:rPr>
        <w:sz w:val="18"/>
      </w:rPr>
      <w:t>health.gov.au/cdi</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407A02" w14:textId="499AF843" w:rsidR="0099623F" w:rsidRPr="00BB5378" w:rsidRDefault="0099623F" w:rsidP="00E538CC">
    <w:pPr>
      <w:pStyle w:val="Footer"/>
      <w:pBdr>
        <w:top w:val="single" w:sz="4" w:space="1" w:color="auto"/>
      </w:pBdr>
      <w:rPr>
        <w:sz w:val="18"/>
      </w:rPr>
    </w:pPr>
    <w:r w:rsidRPr="00BE6C3D">
      <w:rPr>
        <w:sz w:val="18"/>
      </w:rPr>
      <w:fldChar w:fldCharType="begin"/>
    </w:r>
    <w:r w:rsidRPr="00BE6C3D">
      <w:rPr>
        <w:sz w:val="18"/>
      </w:rPr>
      <w:instrText xml:space="preserve"> PAGE   \* MERGEFORMAT </w:instrText>
    </w:r>
    <w:r w:rsidRPr="00BE6C3D">
      <w:rPr>
        <w:sz w:val="18"/>
      </w:rPr>
      <w:fldChar w:fldCharType="separate"/>
    </w:r>
    <w:r>
      <w:rPr>
        <w:noProof/>
        <w:sz w:val="18"/>
      </w:rPr>
      <w:t>1</w:t>
    </w:r>
    <w:r w:rsidRPr="00BE6C3D">
      <w:rPr>
        <w:noProof/>
        <w:sz w:val="18"/>
      </w:rPr>
      <w:fldChar w:fldCharType="end"/>
    </w:r>
    <w:r>
      <w:rPr>
        <w:noProof/>
        <w:sz w:val="18"/>
      </w:rPr>
      <w:t xml:space="preserve"> of </w:t>
    </w:r>
    <w:r>
      <w:rPr>
        <w:noProof/>
        <w:sz w:val="18"/>
      </w:rPr>
      <w:fldChar w:fldCharType="begin"/>
    </w:r>
    <w:r>
      <w:rPr>
        <w:noProof/>
        <w:sz w:val="18"/>
      </w:rPr>
      <w:instrText xml:space="preserve"> NUMPAGES \* MERGEFORMAT </w:instrText>
    </w:r>
    <w:r>
      <w:rPr>
        <w:noProof/>
        <w:sz w:val="18"/>
      </w:rPr>
      <w:fldChar w:fldCharType="separate"/>
    </w:r>
    <w:r>
      <w:rPr>
        <w:noProof/>
        <w:sz w:val="18"/>
      </w:rPr>
      <w:t>3</w:t>
    </w:r>
    <w:r>
      <w:rPr>
        <w:noProof/>
        <w:sz w:val="18"/>
      </w:rPr>
      <w:fldChar w:fldCharType="end"/>
    </w:r>
    <w:r>
      <w:rPr>
        <w:noProof/>
        <w:sz w:val="18"/>
      </w:rPr>
      <w:t xml:space="preserve"> </w:t>
    </w:r>
    <w:r>
      <w:rPr>
        <w:noProof/>
        <w:sz w:val="18"/>
      </w:rPr>
      <w:ptab w:relativeTo="margin" w:alignment="center" w:leader="none"/>
    </w:r>
    <w:r w:rsidRPr="004315F5">
      <w:rPr>
        <w:sz w:val="18"/>
      </w:rPr>
      <w:t xml:space="preserve"> </w:t>
    </w:r>
    <w:proofErr w:type="spellStart"/>
    <w:r w:rsidRPr="00D57237">
      <w:rPr>
        <w:i/>
        <w:sz w:val="18"/>
      </w:rPr>
      <w:t>Commun</w:t>
    </w:r>
    <w:proofErr w:type="spellEnd"/>
    <w:r w:rsidRPr="00D57237">
      <w:rPr>
        <w:i/>
        <w:sz w:val="18"/>
      </w:rPr>
      <w:t xml:space="preserve"> Dis </w:t>
    </w:r>
    <w:proofErr w:type="spellStart"/>
    <w:r w:rsidRPr="00D57237">
      <w:rPr>
        <w:i/>
        <w:sz w:val="18"/>
      </w:rPr>
      <w:t>Intell</w:t>
    </w:r>
    <w:proofErr w:type="spellEnd"/>
    <w:r w:rsidRPr="00D57237">
      <w:rPr>
        <w:i/>
        <w:sz w:val="18"/>
      </w:rPr>
      <w:t xml:space="preserve"> (2018)</w:t>
    </w:r>
    <w:r>
      <w:rPr>
        <w:sz w:val="18"/>
      </w:rPr>
      <w:t xml:space="preserve"> </w:t>
    </w:r>
    <w:r>
      <w:rPr>
        <w:sz w:val="18"/>
      </w:rPr>
      <w:fldChar w:fldCharType="begin"/>
    </w:r>
    <w:r>
      <w:rPr>
        <w:sz w:val="18"/>
      </w:rPr>
      <w:instrText xml:space="preserve"> DOCPROPERTY  Year  \* MERGEFORMAT </w:instrText>
    </w:r>
    <w:r>
      <w:rPr>
        <w:sz w:val="18"/>
      </w:rPr>
      <w:fldChar w:fldCharType="separate"/>
    </w:r>
    <w:r>
      <w:rPr>
        <w:sz w:val="18"/>
      </w:rPr>
      <w:t>2021</w:t>
    </w:r>
    <w:r>
      <w:rPr>
        <w:sz w:val="18"/>
      </w:rPr>
      <w:fldChar w:fldCharType="end"/>
    </w:r>
    <w:r>
      <w:rPr>
        <w:sz w:val="18"/>
      </w:rPr>
      <w:t xml:space="preserve"> </w:t>
    </w:r>
    <w:r>
      <w:rPr>
        <w:sz w:val="18"/>
      </w:rPr>
      <w:fldChar w:fldCharType="begin"/>
    </w:r>
    <w:r>
      <w:rPr>
        <w:sz w:val="18"/>
      </w:rPr>
      <w:instrText xml:space="preserve"> DOCPROPERTY  Vol  \* MERGEFORMAT </w:instrText>
    </w:r>
    <w:r>
      <w:rPr>
        <w:sz w:val="18"/>
      </w:rPr>
      <w:fldChar w:fldCharType="separate"/>
    </w:r>
    <w:r>
      <w:rPr>
        <w:sz w:val="18"/>
      </w:rPr>
      <w:t>45</w:t>
    </w:r>
    <w:r>
      <w:rPr>
        <w:sz w:val="18"/>
      </w:rPr>
      <w:fldChar w:fldCharType="end"/>
    </w:r>
    <w:r>
      <w:rPr>
        <w:sz w:val="18"/>
      </w:rPr>
      <w:t xml:space="preserve"> </w:t>
    </w:r>
    <w:r>
      <w:rPr>
        <w:sz w:val="18"/>
      </w:rPr>
      <w:fldChar w:fldCharType="begin"/>
    </w:r>
    <w:r>
      <w:rPr>
        <w:sz w:val="18"/>
      </w:rPr>
      <w:instrText xml:space="preserve"> DOCPROPERTY  DOI  \* MERGEFORMAT </w:instrText>
    </w:r>
    <w:r>
      <w:rPr>
        <w:sz w:val="18"/>
      </w:rPr>
      <w:fldChar w:fldCharType="separate"/>
    </w:r>
    <w:r>
      <w:rPr>
        <w:sz w:val="18"/>
      </w:rPr>
      <w:t>https://doi.org/10.33321/cdi.2021.45.50</w:t>
    </w:r>
    <w:r>
      <w:rPr>
        <w:sz w:val="18"/>
      </w:rPr>
      <w:fldChar w:fldCharType="end"/>
    </w:r>
    <w:r>
      <w:rPr>
        <w:sz w:val="18"/>
      </w:rPr>
      <w:t xml:space="preserve"> </w:t>
    </w:r>
    <w:proofErr w:type="spellStart"/>
    <w:r w:rsidRPr="00155582">
      <w:rPr>
        <w:sz w:val="18"/>
      </w:rPr>
      <w:t>Epub</w:t>
    </w:r>
    <w:proofErr w:type="spellEnd"/>
    <w:r w:rsidRPr="00155582">
      <w:rPr>
        <w:sz w:val="18"/>
      </w:rPr>
      <w:t xml:space="preserve"> </w:t>
    </w:r>
    <w:r>
      <w:rPr>
        <w:sz w:val="18"/>
      </w:rPr>
      <w:fldChar w:fldCharType="begin"/>
    </w:r>
    <w:r>
      <w:rPr>
        <w:sz w:val="18"/>
      </w:rPr>
      <w:instrText xml:space="preserve"> DOCPROPERTY  ePubDate  \* MERGEFORMAT </w:instrText>
    </w:r>
    <w:r>
      <w:rPr>
        <w:sz w:val="18"/>
      </w:rPr>
      <w:fldChar w:fldCharType="separate"/>
    </w:r>
    <w:r w:rsidR="0020737B">
      <w:rPr>
        <w:sz w:val="18"/>
      </w:rPr>
      <w:t>24/9/2021</w:t>
    </w:r>
    <w:r>
      <w:rPr>
        <w:sz w:val="18"/>
      </w:rPr>
      <w:fldChar w:fldCharType="end"/>
    </w:r>
    <w:r>
      <w:rPr>
        <w:sz w:val="18"/>
      </w:rPr>
      <w:ptab w:relativeTo="margin" w:alignment="right" w:leader="none"/>
    </w:r>
    <w:r w:rsidRPr="00155582">
      <w:rPr>
        <w:sz w:val="18"/>
      </w:rPr>
      <w:t>health.gov.au/cdi</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3AA4D" w14:textId="77777777" w:rsidR="0099623F" w:rsidRPr="00B91FB5" w:rsidRDefault="0099623F" w:rsidP="00B91FB5">
      <w:pPr>
        <w:spacing w:after="0" w:line="240" w:lineRule="auto"/>
        <w:rPr>
          <w:sz w:val="18"/>
          <w:szCs w:val="18"/>
        </w:rPr>
      </w:pPr>
      <w:r w:rsidRPr="00B91FB5">
        <w:rPr>
          <w:sz w:val="18"/>
          <w:szCs w:val="18"/>
        </w:rPr>
        <w:separator/>
      </w:r>
    </w:p>
  </w:footnote>
  <w:footnote w:type="continuationSeparator" w:id="0">
    <w:p w14:paraId="13847243" w14:textId="77777777" w:rsidR="0099623F" w:rsidRDefault="0099623F" w:rsidP="00E54DBA">
      <w:r>
        <w:continuationSeparator/>
      </w:r>
    </w:p>
  </w:footnote>
  <w:footnote w:type="continuationNotice" w:id="1">
    <w:p w14:paraId="7E78AE01" w14:textId="77777777" w:rsidR="0099623F" w:rsidRPr="00224EFF" w:rsidRDefault="0099623F" w:rsidP="00224EFF">
      <w:pPr>
        <w:pStyle w:val="Footer"/>
      </w:pPr>
    </w:p>
  </w:footnote>
  <w:footnote w:id="2">
    <w:p w14:paraId="22E058C4" w14:textId="1DF7AFD0" w:rsidR="0099623F" w:rsidRDefault="0099623F" w:rsidP="00C46870">
      <w:pPr>
        <w:pStyle w:val="CDIfootnotes"/>
      </w:pPr>
      <w:r>
        <w:rPr>
          <w:rStyle w:val="FootnoteReference"/>
        </w:rPr>
        <w:footnoteRef/>
      </w:r>
      <w:r>
        <w:t xml:space="preserve"> </w:t>
      </w:r>
      <w:r w:rsidR="00C46870">
        <w:tab/>
      </w:r>
      <w:r>
        <w:t>SARS-CoV-2 testing (to 10 September 2021) does not align precisely with the epidemiology report’s stated effective date, consistent with the regular reporting arrangements for those data sources.</w:t>
      </w:r>
    </w:p>
  </w:footnote>
  <w:footnote w:id="3">
    <w:p w14:paraId="76D2D073" w14:textId="55C39E83" w:rsidR="0099623F" w:rsidRDefault="0099623F" w:rsidP="00C46870">
      <w:pPr>
        <w:pStyle w:val="CDIfootnotes"/>
      </w:pPr>
      <w:r>
        <w:rPr>
          <w:rStyle w:val="FootnoteReference"/>
        </w:rPr>
        <w:footnoteRef/>
      </w:r>
      <w:r w:rsidR="00C46870">
        <w:tab/>
      </w:r>
      <w:r w:rsidRPr="0099623F">
        <w:t>Previously known as the National Notifiable Diseases Surveillance System (NNDSS).</w:t>
      </w:r>
    </w:p>
  </w:footnote>
  <w:footnote w:id="4">
    <w:p w14:paraId="4D30B636" w14:textId="6FCD2393" w:rsidR="00EA5B3B" w:rsidRDefault="00EA5B3B" w:rsidP="00C46870">
      <w:pPr>
        <w:pStyle w:val="CDIfootnotes"/>
      </w:pPr>
      <w:r>
        <w:rPr>
          <w:rStyle w:val="FootnoteReference"/>
        </w:rPr>
        <w:footnoteRef/>
      </w:r>
      <w:r w:rsidR="00C46870">
        <w:tab/>
      </w:r>
      <w:r w:rsidRPr="00EA5B3B">
        <w:t>These data are provided by the national pathogen genomic sequence and analysis platform, AusTrakka,</w:t>
      </w:r>
      <w:r w:rsidRPr="00EA5B3B">
        <w:rPr>
          <w:vertAlign w:val="superscript"/>
        </w:rPr>
        <w:t>6</w:t>
      </w:r>
      <w:r w:rsidRPr="00EA5B3B">
        <w:t xml:space="preserve"> and from jurisdictional pathogen sequencing laboratories to summarise the genomic epidemiology of SARS-CoV-2 in Australia. Numbers are subject to change retrospectively and sequences are not able to be obtained from all samples (see Technical Supplement).</w:t>
      </w:r>
      <w:r w:rsidRPr="00EA5B3B">
        <w:rPr>
          <w:vertAlign w:val="superscript"/>
        </w:rPr>
        <w:t>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71A64E" w14:textId="1CF641ED" w:rsidR="0099623F" w:rsidRPr="00A153B6" w:rsidRDefault="0020737B" w:rsidP="00A153B6">
    <w:pPr>
      <w:pStyle w:val="Header"/>
      <w:pBdr>
        <w:bottom w:val="single" w:sz="6" w:space="1" w:color="auto"/>
      </w:pBdr>
    </w:pPr>
    <w:sdt>
      <w:sdtPr>
        <w:alias w:val="Category"/>
        <w:tag w:val=""/>
        <w:id w:val="-862438058"/>
        <w:dataBinding w:prefixMappings="xmlns:ns0='http://purl.org/dc/elements/1.1/' xmlns:ns1='http://schemas.openxmlformats.org/package/2006/metadata/core-properties' " w:xpath="/ns1:coreProperties[1]/ns1:category[1]" w:storeItemID="{6C3C8BC8-F283-45AE-878A-BAB7291924A1}"/>
        <w:text/>
      </w:sdtPr>
      <w:sdtEndPr/>
      <w:sdtContent>
        <w:r w:rsidR="0099623F">
          <w:t>Surveillance summary</w:t>
        </w:r>
      </w:sdtContent>
    </w:sdt>
    <w:r w:rsidR="0099623F">
      <w:ptab w:relativeTo="margin" w:alignment="right" w:leader="none"/>
    </w:r>
    <w:r w:rsidR="0099623F" w:rsidRPr="00BB5378">
      <w:t>Communicable Diseases Intelligence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725F7D" w14:textId="77777777" w:rsidR="0099623F" w:rsidRPr="000A5F42" w:rsidRDefault="0099623F" w:rsidP="000A5F42">
    <w:pPr>
      <w:pStyle w:val="Header"/>
      <w:jc w:val="center"/>
      <w:rPr>
        <w:b/>
      </w:rPr>
    </w:pPr>
    <w:r w:rsidRPr="00E810C5">
      <w:rPr>
        <w:rFonts w:cs="Myriad Pro"/>
        <w:noProof/>
        <w:color w:val="211D1E"/>
        <w:sz w:val="16"/>
      </w:rPr>
      <w:drawing>
        <wp:inline distT="0" distB="0" distL="0" distR="0" wp14:anchorId="379397FC" wp14:editId="343A5F5C">
          <wp:extent cx="1804481" cy="436389"/>
          <wp:effectExtent l="0" t="0" r="5715" b="1905"/>
          <wp:docPr id="1" name="Picture 1" descr="Australian Government Department of Health" title="Australian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ustralian Government-inline-word.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2227" cy="45277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94FA6"/>
    <w:multiLevelType w:val="multilevel"/>
    <w:tmpl w:val="944CC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D660C3"/>
    <w:multiLevelType w:val="multilevel"/>
    <w:tmpl w:val="D4A0A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56A3E"/>
    <w:multiLevelType w:val="multilevel"/>
    <w:tmpl w:val="3A288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7E4CE4"/>
    <w:multiLevelType w:val="multilevel"/>
    <w:tmpl w:val="05503E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2F04BA"/>
    <w:multiLevelType w:val="hybridMultilevel"/>
    <w:tmpl w:val="069024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0CA0119"/>
    <w:multiLevelType w:val="multilevel"/>
    <w:tmpl w:val="74D46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2E244F"/>
    <w:multiLevelType w:val="hybridMultilevel"/>
    <w:tmpl w:val="47CCE5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90071AB"/>
    <w:multiLevelType w:val="hybridMultilevel"/>
    <w:tmpl w:val="E89C6B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AE51B50"/>
    <w:multiLevelType w:val="hybridMultilevel"/>
    <w:tmpl w:val="095A08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40536B99"/>
    <w:multiLevelType w:val="multilevel"/>
    <w:tmpl w:val="2C4CD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B5395B"/>
    <w:multiLevelType w:val="hybridMultilevel"/>
    <w:tmpl w:val="4BB85E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A6245C"/>
    <w:multiLevelType w:val="hybridMultilevel"/>
    <w:tmpl w:val="A15CD276"/>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71D582C"/>
    <w:multiLevelType w:val="hybridMultilevel"/>
    <w:tmpl w:val="B3788E6A"/>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9766FF"/>
    <w:multiLevelType w:val="multilevel"/>
    <w:tmpl w:val="19867E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30A4875"/>
    <w:multiLevelType w:val="multilevel"/>
    <w:tmpl w:val="E1448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FC45B7"/>
    <w:multiLevelType w:val="multilevel"/>
    <w:tmpl w:val="65284E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D1800A5"/>
    <w:multiLevelType w:val="multilevel"/>
    <w:tmpl w:val="E3BC4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C43C3F"/>
    <w:multiLevelType w:val="hybridMultilevel"/>
    <w:tmpl w:val="DB1674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A376548"/>
    <w:multiLevelType w:val="multilevel"/>
    <w:tmpl w:val="72DCED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2812F4"/>
    <w:multiLevelType w:val="multilevel"/>
    <w:tmpl w:val="BEA2D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1"/>
  </w:num>
  <w:num w:numId="3">
    <w:abstractNumId w:val="12"/>
  </w:num>
  <w:num w:numId="4">
    <w:abstractNumId w:val="3"/>
  </w:num>
  <w:num w:numId="5">
    <w:abstractNumId w:val="15"/>
  </w:num>
  <w:num w:numId="6">
    <w:abstractNumId w:val="17"/>
  </w:num>
  <w:num w:numId="7">
    <w:abstractNumId w:val="18"/>
  </w:num>
  <w:num w:numId="8">
    <w:abstractNumId w:val="7"/>
  </w:num>
  <w:num w:numId="9">
    <w:abstractNumId w:val="8"/>
  </w:num>
  <w:num w:numId="10">
    <w:abstractNumId w:val="19"/>
  </w:num>
  <w:num w:numId="11">
    <w:abstractNumId w:val="1"/>
  </w:num>
  <w:num w:numId="12">
    <w:abstractNumId w:val="13"/>
  </w:num>
  <w:num w:numId="13">
    <w:abstractNumId w:val="2"/>
  </w:num>
  <w:num w:numId="14">
    <w:abstractNumId w:val="16"/>
  </w:num>
  <w:num w:numId="15">
    <w:abstractNumId w:val="5"/>
  </w:num>
  <w:num w:numId="16">
    <w:abstractNumId w:val="0"/>
  </w:num>
  <w:num w:numId="17">
    <w:abstractNumId w:val="14"/>
  </w:num>
  <w:num w:numId="18">
    <w:abstractNumId w:val="9"/>
  </w:num>
  <w:num w:numId="19">
    <w:abstractNumId w:val="6"/>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attachedTemplate r:id="rId1"/>
  <w:defaultTabStop w:val="720"/>
  <w:noPunctuationKerning/>
  <w:characterSpacingControl w:val="doNotCompress"/>
  <w:hdrShapeDefaults>
    <o:shapedefaults v:ext="edit" spidmax="10241"/>
  </w:hdrShapeDefaults>
  <w:footnotePr>
    <w:numFmt w:val="lowerRoman"/>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46C"/>
    <w:rsid w:val="00000B5B"/>
    <w:rsid w:val="00001611"/>
    <w:rsid w:val="00004BC6"/>
    <w:rsid w:val="000104A8"/>
    <w:rsid w:val="0001246E"/>
    <w:rsid w:val="000124B1"/>
    <w:rsid w:val="00016FE6"/>
    <w:rsid w:val="00031064"/>
    <w:rsid w:val="00031692"/>
    <w:rsid w:val="00032531"/>
    <w:rsid w:val="000325A0"/>
    <w:rsid w:val="000471BF"/>
    <w:rsid w:val="00047B68"/>
    <w:rsid w:val="00052600"/>
    <w:rsid w:val="0005643C"/>
    <w:rsid w:val="0006264A"/>
    <w:rsid w:val="00073D77"/>
    <w:rsid w:val="00081655"/>
    <w:rsid w:val="000864E0"/>
    <w:rsid w:val="000969B3"/>
    <w:rsid w:val="000A5F42"/>
    <w:rsid w:val="000D4B4D"/>
    <w:rsid w:val="00113D58"/>
    <w:rsid w:val="001200CB"/>
    <w:rsid w:val="001240C0"/>
    <w:rsid w:val="001378A3"/>
    <w:rsid w:val="00155582"/>
    <w:rsid w:val="00161590"/>
    <w:rsid w:val="00171CC0"/>
    <w:rsid w:val="00175494"/>
    <w:rsid w:val="00175629"/>
    <w:rsid w:val="001830EC"/>
    <w:rsid w:val="00183534"/>
    <w:rsid w:val="001957FA"/>
    <w:rsid w:val="001A4A96"/>
    <w:rsid w:val="001A5D05"/>
    <w:rsid w:val="001A796C"/>
    <w:rsid w:val="001B2614"/>
    <w:rsid w:val="001B37B8"/>
    <w:rsid w:val="001B552F"/>
    <w:rsid w:val="001C0893"/>
    <w:rsid w:val="001C1303"/>
    <w:rsid w:val="001C70B2"/>
    <w:rsid w:val="001D37C7"/>
    <w:rsid w:val="001D6888"/>
    <w:rsid w:val="0020737B"/>
    <w:rsid w:val="002074AD"/>
    <w:rsid w:val="00224EFF"/>
    <w:rsid w:val="002276DC"/>
    <w:rsid w:val="00227E00"/>
    <w:rsid w:val="002307CB"/>
    <w:rsid w:val="00231046"/>
    <w:rsid w:val="00234F21"/>
    <w:rsid w:val="00242659"/>
    <w:rsid w:val="002428F7"/>
    <w:rsid w:val="0024315F"/>
    <w:rsid w:val="0024631C"/>
    <w:rsid w:val="00252C9A"/>
    <w:rsid w:val="00256309"/>
    <w:rsid w:val="00257484"/>
    <w:rsid w:val="00260636"/>
    <w:rsid w:val="0027470D"/>
    <w:rsid w:val="00275C78"/>
    <w:rsid w:val="00280594"/>
    <w:rsid w:val="00281EE3"/>
    <w:rsid w:val="00284E4A"/>
    <w:rsid w:val="002A3799"/>
    <w:rsid w:val="002A3BCC"/>
    <w:rsid w:val="002A4516"/>
    <w:rsid w:val="002A569F"/>
    <w:rsid w:val="002A7066"/>
    <w:rsid w:val="002B001E"/>
    <w:rsid w:val="002B09B7"/>
    <w:rsid w:val="002B75A9"/>
    <w:rsid w:val="002C21B0"/>
    <w:rsid w:val="002E2FB3"/>
    <w:rsid w:val="002F327B"/>
    <w:rsid w:val="00301626"/>
    <w:rsid w:val="003059EC"/>
    <w:rsid w:val="00316CCD"/>
    <w:rsid w:val="00324F7E"/>
    <w:rsid w:val="003323BC"/>
    <w:rsid w:val="00346D42"/>
    <w:rsid w:val="00346E11"/>
    <w:rsid w:val="003601C0"/>
    <w:rsid w:val="00361D47"/>
    <w:rsid w:val="003635F5"/>
    <w:rsid w:val="00372A88"/>
    <w:rsid w:val="00381A0F"/>
    <w:rsid w:val="003A1B3A"/>
    <w:rsid w:val="003A40F5"/>
    <w:rsid w:val="003B5B8C"/>
    <w:rsid w:val="003B6A2A"/>
    <w:rsid w:val="003D48C0"/>
    <w:rsid w:val="003D5B68"/>
    <w:rsid w:val="003D79B1"/>
    <w:rsid w:val="003E74EE"/>
    <w:rsid w:val="003F0552"/>
    <w:rsid w:val="003F3BC2"/>
    <w:rsid w:val="003F51D1"/>
    <w:rsid w:val="00401ED1"/>
    <w:rsid w:val="0040224C"/>
    <w:rsid w:val="00413EE1"/>
    <w:rsid w:val="004164BB"/>
    <w:rsid w:val="0042000E"/>
    <w:rsid w:val="00421ECE"/>
    <w:rsid w:val="00422FEB"/>
    <w:rsid w:val="0042435E"/>
    <w:rsid w:val="004315F5"/>
    <w:rsid w:val="00433456"/>
    <w:rsid w:val="00433DFA"/>
    <w:rsid w:val="00435D67"/>
    <w:rsid w:val="00464A58"/>
    <w:rsid w:val="00473D2D"/>
    <w:rsid w:val="004834AE"/>
    <w:rsid w:val="004A2125"/>
    <w:rsid w:val="004A38F6"/>
    <w:rsid w:val="004B4EB6"/>
    <w:rsid w:val="004C083C"/>
    <w:rsid w:val="004C67C6"/>
    <w:rsid w:val="004D29DE"/>
    <w:rsid w:val="004F2316"/>
    <w:rsid w:val="00510EAC"/>
    <w:rsid w:val="00525196"/>
    <w:rsid w:val="00542A57"/>
    <w:rsid w:val="00565974"/>
    <w:rsid w:val="005732C0"/>
    <w:rsid w:val="0057336D"/>
    <w:rsid w:val="0057489A"/>
    <w:rsid w:val="00574ACF"/>
    <w:rsid w:val="00581588"/>
    <w:rsid w:val="0058540B"/>
    <w:rsid w:val="00587C87"/>
    <w:rsid w:val="00590B80"/>
    <w:rsid w:val="005B3134"/>
    <w:rsid w:val="005B4E61"/>
    <w:rsid w:val="005B595A"/>
    <w:rsid w:val="005B66C2"/>
    <w:rsid w:val="005C66A6"/>
    <w:rsid w:val="005D2465"/>
    <w:rsid w:val="005E33DD"/>
    <w:rsid w:val="005E4229"/>
    <w:rsid w:val="005E540E"/>
    <w:rsid w:val="005E55FB"/>
    <w:rsid w:val="005F16BB"/>
    <w:rsid w:val="00607115"/>
    <w:rsid w:val="00612295"/>
    <w:rsid w:val="00620768"/>
    <w:rsid w:val="0062594B"/>
    <w:rsid w:val="00631406"/>
    <w:rsid w:val="006324FF"/>
    <w:rsid w:val="006351D6"/>
    <w:rsid w:val="00636E0D"/>
    <w:rsid w:val="0064142F"/>
    <w:rsid w:val="00643CB4"/>
    <w:rsid w:val="00656427"/>
    <w:rsid w:val="00660255"/>
    <w:rsid w:val="0068376C"/>
    <w:rsid w:val="006971F3"/>
    <w:rsid w:val="006C74A3"/>
    <w:rsid w:val="006D1381"/>
    <w:rsid w:val="006D31BC"/>
    <w:rsid w:val="006E7943"/>
    <w:rsid w:val="006F24EA"/>
    <w:rsid w:val="00704CA9"/>
    <w:rsid w:val="0071048D"/>
    <w:rsid w:val="00710F86"/>
    <w:rsid w:val="007111A8"/>
    <w:rsid w:val="00731BC3"/>
    <w:rsid w:val="00741192"/>
    <w:rsid w:val="00743A33"/>
    <w:rsid w:val="00746080"/>
    <w:rsid w:val="0075144A"/>
    <w:rsid w:val="00786329"/>
    <w:rsid w:val="00792C7D"/>
    <w:rsid w:val="00794A4D"/>
    <w:rsid w:val="007A5234"/>
    <w:rsid w:val="007B7854"/>
    <w:rsid w:val="007C56A1"/>
    <w:rsid w:val="007C6454"/>
    <w:rsid w:val="007E01E0"/>
    <w:rsid w:val="007E3646"/>
    <w:rsid w:val="007F0B93"/>
    <w:rsid w:val="007F2ECA"/>
    <w:rsid w:val="00811708"/>
    <w:rsid w:val="00816B90"/>
    <w:rsid w:val="00817799"/>
    <w:rsid w:val="00822F5F"/>
    <w:rsid w:val="00824FD3"/>
    <w:rsid w:val="00826589"/>
    <w:rsid w:val="00834BCC"/>
    <w:rsid w:val="00850D54"/>
    <w:rsid w:val="0086493A"/>
    <w:rsid w:val="008714B0"/>
    <w:rsid w:val="00872E14"/>
    <w:rsid w:val="00876331"/>
    <w:rsid w:val="00880726"/>
    <w:rsid w:val="008A3544"/>
    <w:rsid w:val="008B48B8"/>
    <w:rsid w:val="008B5348"/>
    <w:rsid w:val="008B58F8"/>
    <w:rsid w:val="008C0712"/>
    <w:rsid w:val="008C12E2"/>
    <w:rsid w:val="008C4520"/>
    <w:rsid w:val="008C5F09"/>
    <w:rsid w:val="008D470F"/>
    <w:rsid w:val="008E1F8F"/>
    <w:rsid w:val="008E4243"/>
    <w:rsid w:val="008E4768"/>
    <w:rsid w:val="008E761E"/>
    <w:rsid w:val="008F77B3"/>
    <w:rsid w:val="009008F5"/>
    <w:rsid w:val="00904CC1"/>
    <w:rsid w:val="009066AF"/>
    <w:rsid w:val="00912050"/>
    <w:rsid w:val="00912E48"/>
    <w:rsid w:val="0092746F"/>
    <w:rsid w:val="00935DC9"/>
    <w:rsid w:val="009446C0"/>
    <w:rsid w:val="0096082E"/>
    <w:rsid w:val="00961347"/>
    <w:rsid w:val="00967410"/>
    <w:rsid w:val="00967D73"/>
    <w:rsid w:val="0098119A"/>
    <w:rsid w:val="00984AAF"/>
    <w:rsid w:val="00991B09"/>
    <w:rsid w:val="00993CB2"/>
    <w:rsid w:val="0099623F"/>
    <w:rsid w:val="009A5166"/>
    <w:rsid w:val="009A76F8"/>
    <w:rsid w:val="009B2B83"/>
    <w:rsid w:val="009C49F8"/>
    <w:rsid w:val="009D77CC"/>
    <w:rsid w:val="009E2423"/>
    <w:rsid w:val="009E55D7"/>
    <w:rsid w:val="009E6701"/>
    <w:rsid w:val="009F4150"/>
    <w:rsid w:val="009F5665"/>
    <w:rsid w:val="009F5DAD"/>
    <w:rsid w:val="00A01BCA"/>
    <w:rsid w:val="00A040EF"/>
    <w:rsid w:val="00A10458"/>
    <w:rsid w:val="00A153B6"/>
    <w:rsid w:val="00A164D5"/>
    <w:rsid w:val="00A273C3"/>
    <w:rsid w:val="00A30C37"/>
    <w:rsid w:val="00A3417C"/>
    <w:rsid w:val="00A36C65"/>
    <w:rsid w:val="00A41BBE"/>
    <w:rsid w:val="00A443E3"/>
    <w:rsid w:val="00A45BDD"/>
    <w:rsid w:val="00A46A0A"/>
    <w:rsid w:val="00A553F8"/>
    <w:rsid w:val="00A6708F"/>
    <w:rsid w:val="00A71BF6"/>
    <w:rsid w:val="00A756A7"/>
    <w:rsid w:val="00A8657C"/>
    <w:rsid w:val="00A86F9A"/>
    <w:rsid w:val="00AA35E6"/>
    <w:rsid w:val="00AA50B6"/>
    <w:rsid w:val="00AA5D2A"/>
    <w:rsid w:val="00AB3472"/>
    <w:rsid w:val="00AD0762"/>
    <w:rsid w:val="00AE3DCF"/>
    <w:rsid w:val="00AE4452"/>
    <w:rsid w:val="00AE7C38"/>
    <w:rsid w:val="00AE7E94"/>
    <w:rsid w:val="00B01F99"/>
    <w:rsid w:val="00B02B37"/>
    <w:rsid w:val="00B05276"/>
    <w:rsid w:val="00B0746C"/>
    <w:rsid w:val="00B132DB"/>
    <w:rsid w:val="00B31427"/>
    <w:rsid w:val="00B33861"/>
    <w:rsid w:val="00B368DF"/>
    <w:rsid w:val="00B40DE2"/>
    <w:rsid w:val="00B50210"/>
    <w:rsid w:val="00B53955"/>
    <w:rsid w:val="00B6408A"/>
    <w:rsid w:val="00B714B8"/>
    <w:rsid w:val="00B72414"/>
    <w:rsid w:val="00B82C2C"/>
    <w:rsid w:val="00B8720B"/>
    <w:rsid w:val="00B876EF"/>
    <w:rsid w:val="00B91FB5"/>
    <w:rsid w:val="00BA4697"/>
    <w:rsid w:val="00BB5378"/>
    <w:rsid w:val="00BC0BD3"/>
    <w:rsid w:val="00BC46BF"/>
    <w:rsid w:val="00BD0107"/>
    <w:rsid w:val="00BE0C33"/>
    <w:rsid w:val="00BE262C"/>
    <w:rsid w:val="00BE6C3D"/>
    <w:rsid w:val="00C07606"/>
    <w:rsid w:val="00C12542"/>
    <w:rsid w:val="00C24725"/>
    <w:rsid w:val="00C25047"/>
    <w:rsid w:val="00C30BA9"/>
    <w:rsid w:val="00C3541E"/>
    <w:rsid w:val="00C36A8F"/>
    <w:rsid w:val="00C42834"/>
    <w:rsid w:val="00C42FFA"/>
    <w:rsid w:val="00C46870"/>
    <w:rsid w:val="00C507D8"/>
    <w:rsid w:val="00C62EAC"/>
    <w:rsid w:val="00C63F9F"/>
    <w:rsid w:val="00C7723C"/>
    <w:rsid w:val="00C838F5"/>
    <w:rsid w:val="00C841C0"/>
    <w:rsid w:val="00CA1AF4"/>
    <w:rsid w:val="00CA6068"/>
    <w:rsid w:val="00CB15E1"/>
    <w:rsid w:val="00CB3D46"/>
    <w:rsid w:val="00CC3E64"/>
    <w:rsid w:val="00CD1A87"/>
    <w:rsid w:val="00CD35F3"/>
    <w:rsid w:val="00CD5C93"/>
    <w:rsid w:val="00CE342B"/>
    <w:rsid w:val="00CF320C"/>
    <w:rsid w:val="00CF3A4B"/>
    <w:rsid w:val="00CF4001"/>
    <w:rsid w:val="00D05837"/>
    <w:rsid w:val="00D12D8A"/>
    <w:rsid w:val="00D13E0C"/>
    <w:rsid w:val="00D25896"/>
    <w:rsid w:val="00D373A1"/>
    <w:rsid w:val="00D37C0F"/>
    <w:rsid w:val="00D45661"/>
    <w:rsid w:val="00D45943"/>
    <w:rsid w:val="00D46D62"/>
    <w:rsid w:val="00D47D22"/>
    <w:rsid w:val="00D51865"/>
    <w:rsid w:val="00D51D0C"/>
    <w:rsid w:val="00D57237"/>
    <w:rsid w:val="00D74140"/>
    <w:rsid w:val="00DA6E56"/>
    <w:rsid w:val="00DC24E5"/>
    <w:rsid w:val="00DC6705"/>
    <w:rsid w:val="00DD2DE8"/>
    <w:rsid w:val="00DD3D4E"/>
    <w:rsid w:val="00DE38B4"/>
    <w:rsid w:val="00DE5D02"/>
    <w:rsid w:val="00E005A9"/>
    <w:rsid w:val="00E1166E"/>
    <w:rsid w:val="00E24DC0"/>
    <w:rsid w:val="00E2519C"/>
    <w:rsid w:val="00E25F2A"/>
    <w:rsid w:val="00E41455"/>
    <w:rsid w:val="00E42AD2"/>
    <w:rsid w:val="00E50856"/>
    <w:rsid w:val="00E538CC"/>
    <w:rsid w:val="00E54BBD"/>
    <w:rsid w:val="00E54DBA"/>
    <w:rsid w:val="00E63D7C"/>
    <w:rsid w:val="00E640D5"/>
    <w:rsid w:val="00E66E2E"/>
    <w:rsid w:val="00E67691"/>
    <w:rsid w:val="00E92237"/>
    <w:rsid w:val="00E951EF"/>
    <w:rsid w:val="00EA3D54"/>
    <w:rsid w:val="00EA56D9"/>
    <w:rsid w:val="00EA5B3B"/>
    <w:rsid w:val="00EA5CE3"/>
    <w:rsid w:val="00EB4D52"/>
    <w:rsid w:val="00EB51C1"/>
    <w:rsid w:val="00EB5AE1"/>
    <w:rsid w:val="00EB5E0B"/>
    <w:rsid w:val="00EC2171"/>
    <w:rsid w:val="00ED442D"/>
    <w:rsid w:val="00ED70C2"/>
    <w:rsid w:val="00EE18FF"/>
    <w:rsid w:val="00EE489F"/>
    <w:rsid w:val="00F0647F"/>
    <w:rsid w:val="00F10CE3"/>
    <w:rsid w:val="00F12006"/>
    <w:rsid w:val="00F14F3B"/>
    <w:rsid w:val="00F16362"/>
    <w:rsid w:val="00F207C7"/>
    <w:rsid w:val="00F300C3"/>
    <w:rsid w:val="00F36B6D"/>
    <w:rsid w:val="00F43FA3"/>
    <w:rsid w:val="00F55648"/>
    <w:rsid w:val="00F70046"/>
    <w:rsid w:val="00F747CE"/>
    <w:rsid w:val="00F748C2"/>
    <w:rsid w:val="00F74958"/>
    <w:rsid w:val="00F76C5C"/>
    <w:rsid w:val="00F81EF3"/>
    <w:rsid w:val="00F84496"/>
    <w:rsid w:val="00F85DCB"/>
    <w:rsid w:val="00F86F9C"/>
    <w:rsid w:val="00F90D76"/>
    <w:rsid w:val="00FC002E"/>
    <w:rsid w:val="00FC4C23"/>
    <w:rsid w:val="00FC642E"/>
    <w:rsid w:val="00FE2AE4"/>
    <w:rsid w:val="00FE689F"/>
    <w:rsid w:val="00FE7809"/>
    <w:rsid w:val="00FF408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39D021F"/>
  <w15:docId w15:val="{44F97FF3-5F36-44C4-B17C-13AAC6DD48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1192"/>
  </w:style>
  <w:style w:type="paragraph" w:styleId="Heading1">
    <w:name w:val="heading 1"/>
    <w:basedOn w:val="Normal"/>
    <w:next w:val="Normal"/>
    <w:link w:val="Heading1Char"/>
    <w:uiPriority w:val="9"/>
    <w:qFormat/>
    <w:rsid w:val="00DD2DE8"/>
    <w:pPr>
      <w:spacing w:before="480" w:after="240"/>
      <w:contextualSpacing/>
      <w:outlineLvl w:val="0"/>
    </w:pPr>
    <w:rPr>
      <w:rFonts w:asciiTheme="majorHAnsi" w:eastAsiaTheme="majorEastAsia" w:hAnsiTheme="majorHAnsi" w:cstheme="majorBidi"/>
      <w:b/>
      <w:bCs/>
      <w:sz w:val="32"/>
      <w:szCs w:val="28"/>
    </w:rPr>
  </w:style>
  <w:style w:type="paragraph" w:styleId="Heading2">
    <w:name w:val="heading 2"/>
    <w:basedOn w:val="Normal"/>
    <w:next w:val="Normal"/>
    <w:link w:val="Heading2Char"/>
    <w:uiPriority w:val="9"/>
    <w:unhideWhenUsed/>
    <w:qFormat/>
    <w:rsid w:val="00741192"/>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41192"/>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41192"/>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41192"/>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741192"/>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41192"/>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41192"/>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741192"/>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2DE8"/>
    <w:rPr>
      <w:rFonts w:asciiTheme="majorHAnsi" w:eastAsiaTheme="majorEastAsia" w:hAnsiTheme="majorHAnsi" w:cstheme="majorBidi"/>
      <w:b/>
      <w:bCs/>
      <w:sz w:val="32"/>
      <w:szCs w:val="28"/>
    </w:rPr>
  </w:style>
  <w:style w:type="paragraph" w:styleId="NormalWeb">
    <w:name w:val="Normal (Web)"/>
    <w:basedOn w:val="Normal"/>
    <w:link w:val="NormalWebChar"/>
    <w:uiPriority w:val="99"/>
    <w:unhideWhenUsed/>
    <w:pPr>
      <w:spacing w:before="100" w:beforeAutospacing="1" w:after="100" w:afterAutospacing="1"/>
    </w:pPr>
  </w:style>
  <w:style w:type="character" w:styleId="Strong">
    <w:name w:val="Strong"/>
    <w:uiPriority w:val="22"/>
    <w:qFormat/>
    <w:rsid w:val="00741192"/>
    <w:rPr>
      <w:b/>
      <w:bCs/>
    </w:rPr>
  </w:style>
  <w:style w:type="character" w:customStyle="1" w:styleId="Heading2Char">
    <w:name w:val="Heading 2 Char"/>
    <w:basedOn w:val="DefaultParagraphFont"/>
    <w:link w:val="Heading2"/>
    <w:uiPriority w:val="9"/>
    <w:rsid w:val="00741192"/>
    <w:rPr>
      <w:rFonts w:asciiTheme="majorHAnsi" w:eastAsiaTheme="majorEastAsia" w:hAnsiTheme="majorHAnsi" w:cstheme="majorBidi"/>
      <w:b/>
      <w:bCs/>
      <w:sz w:val="26"/>
      <w:szCs w:val="26"/>
    </w:rPr>
  </w:style>
  <w:style w:type="character" w:styleId="Emphasis">
    <w:name w:val="Emphasis"/>
    <w:uiPriority w:val="20"/>
    <w:qFormat/>
    <w:rsid w:val="00741192"/>
    <w:rPr>
      <w:b/>
      <w:bCs/>
      <w:i/>
      <w:iCs/>
      <w:spacing w:val="10"/>
      <w:bdr w:val="none" w:sz="0" w:space="0" w:color="auto"/>
      <w:shd w:val="clear" w:color="auto" w:fill="auto"/>
    </w:rPr>
  </w:style>
  <w:style w:type="paragraph" w:customStyle="1" w:styleId="table-text">
    <w:name w:val="table-text"/>
    <w:basedOn w:val="Normal"/>
    <w:rsid w:val="00822F5F"/>
    <w:rPr>
      <w:rFonts w:ascii="Myriad Pro" w:hAnsi="Myriad Pro"/>
      <w:color w:val="231F20"/>
      <w:sz w:val="14"/>
      <w:szCs w:val="14"/>
    </w:rPr>
  </w:style>
  <w:style w:type="paragraph" w:customStyle="1" w:styleId="table-h1">
    <w:name w:val="table-h1"/>
    <w:basedOn w:val="Normal"/>
    <w:rsid w:val="00822F5F"/>
    <w:rPr>
      <w:rFonts w:ascii="Myriad Pro" w:hAnsi="Myriad Pro"/>
      <w:b/>
      <w:bCs/>
      <w:color w:val="FFFFFF"/>
      <w:sz w:val="14"/>
      <w:szCs w:val="14"/>
    </w:rPr>
  </w:style>
  <w:style w:type="character" w:customStyle="1" w:styleId="Strong1">
    <w:name w:val="Strong1"/>
    <w:basedOn w:val="DefaultParagraphFont"/>
    <w:rsid w:val="00822F5F"/>
    <w:rPr>
      <w:b/>
      <w:bCs/>
      <w:i w:val="0"/>
      <w:iCs w:val="0"/>
    </w:rPr>
  </w:style>
  <w:style w:type="character" w:customStyle="1" w:styleId="superscript">
    <w:name w:val="superscript"/>
    <w:basedOn w:val="DefaultParagraphFont"/>
    <w:rsid w:val="00822F5F"/>
    <w:rPr>
      <w:vertAlign w:val="superscript"/>
    </w:rPr>
  </w:style>
  <w:style w:type="paragraph" w:customStyle="1" w:styleId="footnote">
    <w:name w:val="footnote"/>
    <w:basedOn w:val="Normal"/>
    <w:rsid w:val="008B48B8"/>
    <w:rPr>
      <w:rFonts w:ascii="Myriad Pro" w:hAnsi="Myriad Pro"/>
      <w:color w:val="231F20"/>
      <w:sz w:val="12"/>
      <w:szCs w:val="12"/>
    </w:rPr>
  </w:style>
  <w:style w:type="paragraph" w:customStyle="1" w:styleId="figure-table-title">
    <w:name w:val="figure-table-title"/>
    <w:basedOn w:val="Normal"/>
    <w:rsid w:val="008B48B8"/>
    <w:pPr>
      <w:spacing w:after="180"/>
    </w:pPr>
    <w:rPr>
      <w:rFonts w:ascii="Minion Pro SmBd" w:hAnsi="Minion Pro SmBd"/>
      <w:b/>
      <w:bCs/>
      <w:color w:val="231F20"/>
      <w:sz w:val="18"/>
      <w:szCs w:val="18"/>
    </w:rPr>
  </w:style>
  <w:style w:type="paragraph" w:styleId="ListParagraph">
    <w:name w:val="List Paragraph"/>
    <w:basedOn w:val="Normal"/>
    <w:uiPriority w:val="34"/>
    <w:qFormat/>
    <w:rsid w:val="00741192"/>
    <w:pPr>
      <w:ind w:left="720"/>
      <w:contextualSpacing/>
    </w:pPr>
  </w:style>
  <w:style w:type="paragraph" w:styleId="Header">
    <w:name w:val="header"/>
    <w:basedOn w:val="Normal"/>
    <w:link w:val="HeaderChar"/>
    <w:uiPriority w:val="99"/>
    <w:unhideWhenUsed/>
    <w:rsid w:val="00E54DBA"/>
    <w:pPr>
      <w:tabs>
        <w:tab w:val="center" w:pos="4513"/>
        <w:tab w:val="right" w:pos="9026"/>
      </w:tabs>
    </w:pPr>
  </w:style>
  <w:style w:type="character" w:customStyle="1" w:styleId="HeaderChar">
    <w:name w:val="Header Char"/>
    <w:basedOn w:val="DefaultParagraphFont"/>
    <w:link w:val="Header"/>
    <w:uiPriority w:val="99"/>
    <w:rsid w:val="00E54DBA"/>
    <w:rPr>
      <w:rFonts w:eastAsiaTheme="minorEastAsia"/>
      <w:sz w:val="24"/>
      <w:szCs w:val="24"/>
    </w:rPr>
  </w:style>
  <w:style w:type="paragraph" w:styleId="Footer">
    <w:name w:val="footer"/>
    <w:basedOn w:val="Normal"/>
    <w:link w:val="FooterChar"/>
    <w:uiPriority w:val="99"/>
    <w:unhideWhenUsed/>
    <w:rsid w:val="00E54DBA"/>
    <w:pPr>
      <w:tabs>
        <w:tab w:val="center" w:pos="4513"/>
        <w:tab w:val="right" w:pos="9026"/>
      </w:tabs>
    </w:pPr>
  </w:style>
  <w:style w:type="character" w:customStyle="1" w:styleId="FooterChar">
    <w:name w:val="Footer Char"/>
    <w:basedOn w:val="DefaultParagraphFont"/>
    <w:link w:val="Footer"/>
    <w:uiPriority w:val="99"/>
    <w:rsid w:val="00E54DBA"/>
    <w:rPr>
      <w:rFonts w:eastAsiaTheme="minorEastAsia"/>
      <w:sz w:val="24"/>
      <w:szCs w:val="24"/>
    </w:rPr>
  </w:style>
  <w:style w:type="paragraph" w:styleId="Title">
    <w:name w:val="Title"/>
    <w:basedOn w:val="Normal"/>
    <w:next w:val="Normal"/>
    <w:link w:val="TitleChar"/>
    <w:uiPriority w:val="10"/>
    <w:qFormat/>
    <w:rsid w:val="00984AAF"/>
    <w:pPr>
      <w:spacing w:line="240" w:lineRule="auto"/>
      <w:contextualSpacing/>
    </w:pPr>
    <w:rPr>
      <w:rFonts w:ascii="Myriad Pro Cond" w:eastAsiaTheme="majorEastAsia" w:hAnsi="Myriad Pro Cond" w:cstheme="majorBidi"/>
      <w:b/>
      <w:spacing w:val="5"/>
      <w:sz w:val="52"/>
      <w:szCs w:val="52"/>
    </w:rPr>
  </w:style>
  <w:style w:type="character" w:customStyle="1" w:styleId="TitleChar">
    <w:name w:val="Title Char"/>
    <w:basedOn w:val="DefaultParagraphFont"/>
    <w:link w:val="Title"/>
    <w:uiPriority w:val="10"/>
    <w:rsid w:val="00984AAF"/>
    <w:rPr>
      <w:rFonts w:ascii="Myriad Pro Cond" w:eastAsiaTheme="majorEastAsia" w:hAnsi="Myriad Pro Cond" w:cstheme="majorBidi"/>
      <w:b/>
      <w:spacing w:val="5"/>
      <w:sz w:val="52"/>
      <w:szCs w:val="52"/>
    </w:rPr>
  </w:style>
  <w:style w:type="character" w:customStyle="1" w:styleId="Heading3Char">
    <w:name w:val="Heading 3 Char"/>
    <w:basedOn w:val="DefaultParagraphFont"/>
    <w:link w:val="Heading3"/>
    <w:uiPriority w:val="9"/>
    <w:rsid w:val="0074119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74119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74119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741192"/>
    <w:rPr>
      <w:rFonts w:asciiTheme="majorHAnsi" w:eastAsiaTheme="majorEastAsia" w:hAnsiTheme="majorHAnsi" w:cstheme="majorBidi"/>
      <w:b/>
      <w:bCs/>
      <w:i/>
      <w:iCs/>
      <w:color w:val="7F7F7F" w:themeColor="text1" w:themeTint="80"/>
    </w:rPr>
  </w:style>
  <w:style w:type="paragraph" w:styleId="Subtitle">
    <w:name w:val="Subtitle"/>
    <w:basedOn w:val="Normal"/>
    <w:next w:val="Normal"/>
    <w:link w:val="SubtitleChar"/>
    <w:uiPriority w:val="11"/>
    <w:qFormat/>
    <w:rsid w:val="0074119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41192"/>
    <w:rPr>
      <w:rFonts w:asciiTheme="majorHAnsi" w:eastAsiaTheme="majorEastAsia" w:hAnsiTheme="majorHAnsi" w:cstheme="majorBidi"/>
      <w:i/>
      <w:iCs/>
      <w:spacing w:val="13"/>
      <w:sz w:val="24"/>
      <w:szCs w:val="24"/>
    </w:rPr>
  </w:style>
  <w:style w:type="paragraph" w:styleId="NoSpacing">
    <w:name w:val="No Spacing"/>
    <w:basedOn w:val="Normal"/>
    <w:link w:val="NoSpacingChar"/>
    <w:uiPriority w:val="1"/>
    <w:qFormat/>
    <w:rsid w:val="00741192"/>
    <w:pPr>
      <w:spacing w:after="0" w:line="240" w:lineRule="auto"/>
    </w:pPr>
  </w:style>
  <w:style w:type="paragraph" w:styleId="Quote">
    <w:name w:val="Quote"/>
    <w:basedOn w:val="Normal"/>
    <w:next w:val="Normal"/>
    <w:link w:val="QuoteChar"/>
    <w:uiPriority w:val="29"/>
    <w:qFormat/>
    <w:rsid w:val="00741192"/>
    <w:pPr>
      <w:spacing w:before="200" w:after="0"/>
      <w:ind w:left="360" w:right="360"/>
    </w:pPr>
    <w:rPr>
      <w:i/>
      <w:iCs/>
    </w:rPr>
  </w:style>
  <w:style w:type="character" w:customStyle="1" w:styleId="QuoteChar">
    <w:name w:val="Quote Char"/>
    <w:basedOn w:val="DefaultParagraphFont"/>
    <w:link w:val="Quote"/>
    <w:uiPriority w:val="29"/>
    <w:rsid w:val="00741192"/>
    <w:rPr>
      <w:i/>
      <w:iCs/>
    </w:rPr>
  </w:style>
  <w:style w:type="paragraph" w:styleId="IntenseQuote">
    <w:name w:val="Intense Quote"/>
    <w:basedOn w:val="Normal"/>
    <w:next w:val="Normal"/>
    <w:link w:val="IntenseQuoteChar"/>
    <w:uiPriority w:val="30"/>
    <w:qFormat/>
    <w:rsid w:val="0074119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41192"/>
    <w:rPr>
      <w:b/>
      <w:bCs/>
      <w:i/>
      <w:iCs/>
    </w:rPr>
  </w:style>
  <w:style w:type="character" w:styleId="SubtleEmphasis">
    <w:name w:val="Subtle Emphasis"/>
    <w:uiPriority w:val="19"/>
    <w:qFormat/>
    <w:rsid w:val="00741192"/>
    <w:rPr>
      <w:i/>
      <w:iCs/>
    </w:rPr>
  </w:style>
  <w:style w:type="character" w:styleId="IntenseEmphasis">
    <w:name w:val="Intense Emphasis"/>
    <w:uiPriority w:val="21"/>
    <w:qFormat/>
    <w:rsid w:val="00741192"/>
    <w:rPr>
      <w:b/>
      <w:bCs/>
    </w:rPr>
  </w:style>
  <w:style w:type="character" w:styleId="SubtleReference">
    <w:name w:val="Subtle Reference"/>
    <w:uiPriority w:val="31"/>
    <w:qFormat/>
    <w:rsid w:val="00741192"/>
    <w:rPr>
      <w:smallCaps/>
    </w:rPr>
  </w:style>
  <w:style w:type="character" w:styleId="IntenseReference">
    <w:name w:val="Intense Reference"/>
    <w:uiPriority w:val="32"/>
    <w:qFormat/>
    <w:rsid w:val="00741192"/>
    <w:rPr>
      <w:smallCaps/>
      <w:spacing w:val="5"/>
      <w:u w:val="single"/>
    </w:rPr>
  </w:style>
  <w:style w:type="character" w:styleId="BookTitle">
    <w:name w:val="Book Title"/>
    <w:uiPriority w:val="33"/>
    <w:qFormat/>
    <w:rsid w:val="00741192"/>
    <w:rPr>
      <w:i/>
      <w:iCs/>
      <w:smallCaps/>
      <w:spacing w:val="5"/>
    </w:rPr>
  </w:style>
  <w:style w:type="character" w:customStyle="1" w:styleId="Heading7Char">
    <w:name w:val="Heading 7 Char"/>
    <w:basedOn w:val="DefaultParagraphFont"/>
    <w:link w:val="Heading7"/>
    <w:uiPriority w:val="9"/>
    <w:semiHidden/>
    <w:rsid w:val="0074119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74119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41192"/>
    <w:rPr>
      <w:rFonts w:asciiTheme="majorHAnsi" w:eastAsiaTheme="majorEastAsia" w:hAnsiTheme="majorHAnsi" w:cstheme="majorBidi"/>
      <w:i/>
      <w:iCs/>
      <w:spacing w:val="5"/>
      <w:sz w:val="20"/>
      <w:szCs w:val="20"/>
    </w:rPr>
  </w:style>
  <w:style w:type="paragraph" w:styleId="TOCHeading">
    <w:name w:val="TOC Heading"/>
    <w:basedOn w:val="Heading1"/>
    <w:next w:val="Normal"/>
    <w:uiPriority w:val="39"/>
    <w:semiHidden/>
    <w:unhideWhenUsed/>
    <w:qFormat/>
    <w:rsid w:val="00741192"/>
    <w:pPr>
      <w:outlineLvl w:val="9"/>
    </w:pPr>
    <w:rPr>
      <w:lang w:bidi="en-US"/>
    </w:rPr>
  </w:style>
  <w:style w:type="paragraph" w:styleId="BalloonText">
    <w:name w:val="Balloon Text"/>
    <w:basedOn w:val="Normal"/>
    <w:link w:val="BalloonTextChar"/>
    <w:uiPriority w:val="99"/>
    <w:semiHidden/>
    <w:unhideWhenUsed/>
    <w:rsid w:val="00C7723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23C"/>
    <w:rPr>
      <w:rFonts w:ascii="Tahoma" w:hAnsi="Tahoma" w:cs="Tahoma"/>
      <w:sz w:val="16"/>
      <w:szCs w:val="16"/>
    </w:rPr>
  </w:style>
  <w:style w:type="character" w:styleId="PlaceholderText">
    <w:name w:val="Placeholder Text"/>
    <w:basedOn w:val="DefaultParagraphFont"/>
    <w:uiPriority w:val="99"/>
    <w:semiHidden/>
    <w:rsid w:val="00433DFA"/>
    <w:rPr>
      <w:color w:val="808080"/>
    </w:rPr>
  </w:style>
  <w:style w:type="character" w:customStyle="1" w:styleId="NoSpacingChar">
    <w:name w:val="No Spacing Char"/>
    <w:basedOn w:val="DefaultParagraphFont"/>
    <w:link w:val="NoSpacing"/>
    <w:uiPriority w:val="1"/>
    <w:rsid w:val="007B7854"/>
  </w:style>
  <w:style w:type="paragraph" w:customStyle="1" w:styleId="Pa1">
    <w:name w:val="Pa1"/>
    <w:basedOn w:val="Normal"/>
    <w:next w:val="Normal"/>
    <w:uiPriority w:val="99"/>
    <w:rsid w:val="00D47D22"/>
    <w:pPr>
      <w:autoSpaceDE w:val="0"/>
      <w:autoSpaceDN w:val="0"/>
      <w:adjustRightInd w:val="0"/>
      <w:spacing w:after="0" w:line="241" w:lineRule="atLeast"/>
    </w:pPr>
    <w:rPr>
      <w:rFonts w:ascii="Myriad Pro" w:hAnsi="Myriad Pro"/>
      <w:sz w:val="24"/>
      <w:szCs w:val="24"/>
    </w:rPr>
  </w:style>
  <w:style w:type="character" w:customStyle="1" w:styleId="A10">
    <w:name w:val="A10"/>
    <w:uiPriority w:val="99"/>
    <w:rsid w:val="00D47D22"/>
    <w:rPr>
      <w:rFonts w:cs="Myriad Pro"/>
      <w:color w:val="211D1E"/>
      <w:sz w:val="22"/>
      <w:szCs w:val="22"/>
    </w:rPr>
  </w:style>
  <w:style w:type="character" w:customStyle="1" w:styleId="A11">
    <w:name w:val="A11"/>
    <w:uiPriority w:val="99"/>
    <w:rsid w:val="00D47D22"/>
    <w:rPr>
      <w:rFonts w:cs="Myriad Pro"/>
      <w:color w:val="211D1E"/>
      <w:sz w:val="22"/>
      <w:szCs w:val="22"/>
      <w:u w:val="single"/>
    </w:rPr>
  </w:style>
  <w:style w:type="character" w:customStyle="1" w:styleId="A12">
    <w:name w:val="A12"/>
    <w:uiPriority w:val="99"/>
    <w:rsid w:val="00D47D22"/>
    <w:rPr>
      <w:rFonts w:cs="Myriad Pro"/>
      <w:color w:val="211D1E"/>
      <w:u w:val="single"/>
    </w:rPr>
  </w:style>
  <w:style w:type="character" w:styleId="Hyperlink">
    <w:name w:val="Hyperlink"/>
    <w:basedOn w:val="DefaultParagraphFont"/>
    <w:uiPriority w:val="99"/>
    <w:unhideWhenUsed/>
    <w:rsid w:val="001B37B8"/>
    <w:rPr>
      <w:color w:val="0000FF" w:themeColor="hyperlink"/>
      <w:u w:val="single"/>
    </w:rPr>
  </w:style>
  <w:style w:type="table" w:customStyle="1" w:styleId="CDI-StandardTable">
    <w:name w:val="CDI - Standard Table"/>
    <w:basedOn w:val="TableNormal"/>
    <w:uiPriority w:val="99"/>
    <w:rsid w:val="0042000E"/>
    <w:pPr>
      <w:spacing w:after="0" w:line="240" w:lineRule="auto"/>
    </w:pPr>
    <w:rPr>
      <w:rFonts w:ascii="Calibri" w:hAnsi="Calibri"/>
    </w:rPr>
    <w:tblPr>
      <w:tblStyleRowBandSize w:val="1"/>
      <w:tblCellMar>
        <w:top w:w="57" w:type="dxa"/>
        <w:left w:w="57" w:type="dxa"/>
        <w:bottom w:w="57" w:type="dxa"/>
        <w:right w:w="57" w:type="dxa"/>
      </w:tblCellMar>
    </w:tblPr>
    <w:tblStylePr w:type="firstRow">
      <w:rPr>
        <w:rFonts w:asciiTheme="minorHAnsi" w:hAnsiTheme="minorHAnsi"/>
        <w:b/>
        <w:sz w:val="22"/>
      </w:rPr>
      <w:tblPr>
        <w:tblCellMar>
          <w:top w:w="120" w:type="dxa"/>
          <w:left w:w="120" w:type="dxa"/>
          <w:bottom w:w="120" w:type="dxa"/>
          <w:right w:w="120" w:type="dxa"/>
        </w:tblCellMar>
      </w:tblPr>
      <w:tcPr>
        <w:shd w:val="clear" w:color="auto" w:fill="404040" w:themeFill="text1" w:themeFillTint="BF"/>
      </w:tcPr>
    </w:tblStylePr>
    <w:tblStylePr w:type="band2Horz">
      <w:tblPr/>
      <w:tcPr>
        <w:shd w:val="clear" w:color="auto" w:fill="F2F2F2" w:themeFill="background1" w:themeFillShade="F2"/>
      </w:tcPr>
    </w:tblStylePr>
  </w:style>
  <w:style w:type="paragraph" w:customStyle="1" w:styleId="CDIfootnotes">
    <w:name w:val="CDI_footnotes"/>
    <w:basedOn w:val="NormalWeb"/>
    <w:link w:val="CDIfootnotesChar"/>
    <w:qFormat/>
    <w:rsid w:val="00DC24E5"/>
    <w:pPr>
      <w:spacing w:line="240" w:lineRule="auto"/>
      <w:ind w:left="720" w:hanging="720"/>
      <w:contextualSpacing/>
    </w:pPr>
    <w:rPr>
      <w:sz w:val="18"/>
    </w:rPr>
  </w:style>
  <w:style w:type="table" w:styleId="LightList">
    <w:name w:val="Light List"/>
    <w:basedOn w:val="TableNormal"/>
    <w:uiPriority w:val="61"/>
    <w:rsid w:val="00433456"/>
    <w:pPr>
      <w:spacing w:after="0" w:line="240" w:lineRule="auto"/>
    </w:pPr>
    <w:tblPr>
      <w:tblStyleRow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4334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IFigures">
    <w:name w:val="CDI_Figures"/>
    <w:basedOn w:val="NormalWeb"/>
    <w:link w:val="CDIFiguresChar"/>
    <w:qFormat/>
    <w:rsid w:val="00C30BA9"/>
    <w:rPr>
      <w:b/>
    </w:rPr>
  </w:style>
  <w:style w:type="character" w:customStyle="1" w:styleId="NormalWebChar">
    <w:name w:val="Normal (Web) Char"/>
    <w:basedOn w:val="DefaultParagraphFont"/>
    <w:link w:val="NormalWeb"/>
    <w:uiPriority w:val="99"/>
    <w:rsid w:val="00DE5D02"/>
  </w:style>
  <w:style w:type="character" w:customStyle="1" w:styleId="CDIfootnotesChar">
    <w:name w:val="CDI_footnotes Char"/>
    <w:basedOn w:val="NormalWebChar"/>
    <w:link w:val="CDIfootnotes"/>
    <w:rsid w:val="00DC24E5"/>
    <w:rPr>
      <w:sz w:val="18"/>
    </w:rPr>
  </w:style>
  <w:style w:type="character" w:customStyle="1" w:styleId="CDIFiguresChar">
    <w:name w:val="CDI_Figures Char"/>
    <w:basedOn w:val="NormalWebChar"/>
    <w:link w:val="CDIFigures"/>
    <w:rsid w:val="00C30BA9"/>
    <w:rPr>
      <w:b/>
    </w:rPr>
  </w:style>
  <w:style w:type="character" w:customStyle="1" w:styleId="URI">
    <w:name w:val="URI"/>
    <w:uiPriority w:val="99"/>
    <w:rsid w:val="000A5F42"/>
    <w:rPr>
      <w:color w:val="000000"/>
      <w:u w:val="thick"/>
    </w:rPr>
  </w:style>
  <w:style w:type="character" w:customStyle="1" w:styleId="nobreak">
    <w:name w:val="no break"/>
    <w:uiPriority w:val="99"/>
    <w:rsid w:val="000A5F42"/>
    <w:rPr>
      <w:u w:val="none"/>
    </w:rPr>
  </w:style>
  <w:style w:type="paragraph" w:styleId="FootnoteText">
    <w:name w:val="footnote text"/>
    <w:basedOn w:val="Normal"/>
    <w:link w:val="FootnoteTextChar"/>
    <w:uiPriority w:val="99"/>
    <w:semiHidden/>
    <w:unhideWhenUsed/>
    <w:rsid w:val="00224EF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24EFF"/>
    <w:rPr>
      <w:sz w:val="20"/>
      <w:szCs w:val="20"/>
    </w:rPr>
  </w:style>
  <w:style w:type="character" w:styleId="FootnoteReference">
    <w:name w:val="footnote reference"/>
    <w:basedOn w:val="DefaultParagraphFont"/>
    <w:uiPriority w:val="99"/>
    <w:semiHidden/>
    <w:unhideWhenUsed/>
    <w:rsid w:val="00224EF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342280">
      <w:bodyDiv w:val="1"/>
      <w:marLeft w:val="0"/>
      <w:marRight w:val="0"/>
      <w:marTop w:val="0"/>
      <w:marBottom w:val="0"/>
      <w:divBdr>
        <w:top w:val="none" w:sz="0" w:space="0" w:color="auto"/>
        <w:left w:val="none" w:sz="0" w:space="0" w:color="auto"/>
        <w:bottom w:val="none" w:sz="0" w:space="0" w:color="auto"/>
        <w:right w:val="none" w:sz="0" w:space="0" w:color="auto"/>
      </w:divBdr>
    </w:div>
    <w:div w:id="387656109">
      <w:bodyDiv w:val="1"/>
      <w:marLeft w:val="0"/>
      <w:marRight w:val="0"/>
      <w:marTop w:val="0"/>
      <w:marBottom w:val="0"/>
      <w:divBdr>
        <w:top w:val="none" w:sz="0" w:space="0" w:color="auto"/>
        <w:left w:val="none" w:sz="0" w:space="0" w:color="auto"/>
        <w:bottom w:val="none" w:sz="0" w:space="0" w:color="auto"/>
        <w:right w:val="none" w:sz="0" w:space="0" w:color="auto"/>
      </w:divBdr>
    </w:div>
    <w:div w:id="574974463">
      <w:bodyDiv w:val="1"/>
      <w:marLeft w:val="0"/>
      <w:marRight w:val="0"/>
      <w:marTop w:val="0"/>
      <w:marBottom w:val="0"/>
      <w:divBdr>
        <w:top w:val="none" w:sz="0" w:space="0" w:color="auto"/>
        <w:left w:val="none" w:sz="0" w:space="0" w:color="auto"/>
        <w:bottom w:val="none" w:sz="0" w:space="0" w:color="auto"/>
        <w:right w:val="none" w:sz="0" w:space="0" w:color="auto"/>
      </w:divBdr>
    </w:div>
  </w:divs>
  <w:encoding w:val="unicode"/>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hyperlink" Target="http://www.health.gov.au/cdna" TargetMode="External"/><Relationship Id="rId3" Type="http://schemas.openxmlformats.org/officeDocument/2006/relationships/numbering" Target="numbering.xml"/><Relationship Id="rId21" Type="http://schemas.openxmlformats.org/officeDocument/2006/relationships/hyperlink" Target="http://health.gov.au/cdi"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hyperlink" Target="mailto:copyright@health.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mailto:cdi.editor@health.gov.a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itsanhonour.gov.au/"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s://creativecommons.org/licenses/by-nc-nd/4.0/legalcode"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health.gov.au/cdi"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mailto:cdi.editor@health.gov.au" TargetMode="External"/><Relationship Id="rId27"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8.tiff"/></Relationships>
</file>

<file path=word/_rels/settings.xml.rels><?xml version="1.0" encoding="UTF-8" standalone="yes"?>
<Relationships xmlns="http://schemas.openxmlformats.org/package/2006/relationships"><Relationship Id="rId1" Type="http://schemas.openxmlformats.org/officeDocument/2006/relationships/attachedTemplate" Target="file:///I:\Staging\CDI\OpenCDI\2021\template-2021.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2019-03-15T00:00:00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3CEDF-0107-42E3-93CC-370A8D395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template-2021.dotm</Template>
  <TotalTime>125</TotalTime>
  <Pages>32</Pages>
  <Words>10672</Words>
  <Characters>63651</Characters>
  <Application>Microsoft Office Word</Application>
  <DocSecurity>0</DocSecurity>
  <Lines>530</Lines>
  <Paragraphs>148</Paragraphs>
  <ScaleCrop>false</ScaleCrop>
  <HeadingPairs>
    <vt:vector size="2" baseType="variant">
      <vt:variant>
        <vt:lpstr>Title</vt:lpstr>
      </vt:variant>
      <vt:variant>
        <vt:i4>1</vt:i4>
      </vt:variant>
    </vt:vector>
  </HeadingPairs>
  <TitlesOfParts>
    <vt:vector size="1" baseType="lpstr">
      <vt:lpstr>Communicable Diseases Intelligence 2021 - COVID-19 Australia: Epidemiology Report 50</vt:lpstr>
    </vt:vector>
  </TitlesOfParts>
  <Company>Australian Government, Department of Health</Company>
  <LinksUpToDate>false</LinksUpToDate>
  <CharactersWithSpaces>74175</CharactersWithSpaces>
  <SharedDoc>false</SharedDoc>
  <HyperlinkBase>http://www.health.gov.au</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Communicable Diseases Intelligence 2021 - COVID-19 Australia: Epidemiology Report 50</dc:title>
  <dc:subject>This is the fiftieth epidemiological report for coronavirus disease 2019 (COVID-19), reported in Australia as at 23:59 Australian Eastern Standard Time [AEST] 12 September 2021. It includes data on COVID-19 cases diagnosed in Australia and the international situation.</dc:subject>
  <dc:creator>COVID-19 National Incident Room Surveillance Team</dc:creator>
  <cp:keywords>SARS-CoV-2; novel coronavirus; 2019-nCoV; coronavirus disease 2019; COVID-19; acute respiratory disease; epidemiology; Australia</cp:keywords>
  <dc:description>© Commonwealth of Australia CC BY-NC-ND ISSN: 2209-6051 (Online)</dc:description>
  <cp:lastModifiedBy>YOUSEFI, Kasra</cp:lastModifiedBy>
  <cp:revision>10</cp:revision>
  <cp:lastPrinted>2018-05-10T02:19:00Z</cp:lastPrinted>
  <dcterms:created xsi:type="dcterms:W3CDTF">2021-09-24T02:43:00Z</dcterms:created>
  <dcterms:modified xsi:type="dcterms:W3CDTF">2021-09-24T05:50:00Z</dcterms:modified>
  <cp:category>Surveillance summary</cp:category>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
    <vt:lpwstr>2021</vt:lpwstr>
  </property>
  <property fmtid="{D5CDD505-2E9C-101B-9397-08002B2CF9AE}" pid="3" name="Vol">
    <vt:i4>45</vt:i4>
  </property>
  <property fmtid="{D5CDD505-2E9C-101B-9397-08002B2CF9AE}" pid="4" name="ePubDate">
    <vt:lpwstr>24/9/2021</vt:lpwstr>
  </property>
  <property fmtid="{D5CDD505-2E9C-101B-9397-08002B2CF9AE}" pid="5" name="DOI">
    <vt:lpwstr>https://doi.org/10.33321/cdi.2021.45.50</vt:lpwstr>
  </property>
</Properties>
</file>